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B4382" w14:textId="77777777" w:rsidR="00F70CC8" w:rsidRPr="00CF73CB" w:rsidRDefault="00F70CC8" w:rsidP="00DD28CA">
      <w:pPr>
        <w:pStyle w:val="Title"/>
        <w:spacing w:after="80"/>
        <w:rPr>
          <w:rStyle w:val="BookTitle"/>
        </w:rPr>
      </w:pPr>
      <w:r w:rsidRPr="00CF73CB">
        <w:rPr>
          <w:rStyle w:val="BookTitle"/>
        </w:rPr>
        <w:t>Maine Consumer Law Guide</w:t>
      </w:r>
    </w:p>
    <w:p w14:paraId="68F9A10A" w14:textId="77777777" w:rsidR="00F70CC8" w:rsidRPr="00CF73CB" w:rsidRDefault="00F70CC8" w:rsidP="00B060AB">
      <w:pPr>
        <w:pStyle w:val="Subtitle"/>
      </w:pPr>
      <w:r w:rsidRPr="00CF73CB">
        <w:t>From the Office of the Maine Attorney General</w:t>
      </w:r>
    </w:p>
    <w:p w14:paraId="78007C25" w14:textId="11F7F0C6" w:rsidR="00AF4DF7" w:rsidRPr="00040046" w:rsidRDefault="002120E5" w:rsidP="00E2394F">
      <w:pPr>
        <w:pStyle w:val="Title"/>
        <w:spacing w:after="200"/>
      </w:pPr>
      <w:r w:rsidRPr="00040046">
        <w:t xml:space="preserve">Chapter 5: Consumer </w:t>
      </w:r>
      <w:r w:rsidR="00C455CE" w:rsidRPr="00040046">
        <w:t>R</w:t>
      </w:r>
      <w:r w:rsidR="00C455CE">
        <w:t>EMEDIES</w:t>
      </w:r>
      <w:r w:rsidR="00C455CE" w:rsidRPr="00040046">
        <w:t xml:space="preserve"> </w:t>
      </w:r>
      <w:r w:rsidR="00C455CE">
        <w:t xml:space="preserve">FOR </w:t>
      </w:r>
      <w:r w:rsidRPr="00040046">
        <w:t>Defective Goods</w:t>
      </w:r>
    </w:p>
    <w:p w14:paraId="26B173B6" w14:textId="6FDCA608" w:rsidR="002D01A9" w:rsidRDefault="002D01A9" w:rsidP="00B060AB">
      <w:r w:rsidRPr="00B1608B">
        <w:t xml:space="preserve">Last revised: </w:t>
      </w:r>
      <w:r w:rsidR="00377C76" w:rsidRPr="00B1608B">
        <w:t>April 2026</w:t>
      </w:r>
      <w:r w:rsidRPr="00B1608B">
        <w:t>.</w:t>
      </w:r>
    </w:p>
    <w:p w14:paraId="495F075C" w14:textId="2AED9D82" w:rsidR="002120E5" w:rsidRDefault="002120E5" w:rsidP="004C1F9F">
      <w:pPr>
        <w:rPr>
          <w:rStyle w:val="Strong"/>
          <w:b w:val="0"/>
          <w:bCs w:val="0"/>
        </w:rPr>
      </w:pPr>
      <w:r w:rsidRPr="004C1F9F">
        <w:rPr>
          <w:rStyle w:val="Strong"/>
          <w:b w:val="0"/>
          <w:bCs w:val="0"/>
        </w:rPr>
        <w:t xml:space="preserve">This chapter describes </w:t>
      </w:r>
      <w:r w:rsidR="00C2776B">
        <w:rPr>
          <w:rStyle w:val="Strong"/>
          <w:b w:val="0"/>
          <w:bCs w:val="0"/>
        </w:rPr>
        <w:t>what</w:t>
      </w:r>
      <w:r w:rsidR="004E08D0">
        <w:rPr>
          <w:rStyle w:val="Strong"/>
          <w:b w:val="0"/>
          <w:bCs w:val="0"/>
        </w:rPr>
        <w:t xml:space="preserve"> </w:t>
      </w:r>
      <w:r w:rsidR="00D74536">
        <w:rPr>
          <w:rStyle w:val="Strong"/>
          <w:b w:val="0"/>
          <w:bCs w:val="0"/>
        </w:rPr>
        <w:t>consumers</w:t>
      </w:r>
      <w:r w:rsidRPr="004C1F9F">
        <w:rPr>
          <w:rStyle w:val="Strong"/>
          <w:b w:val="0"/>
          <w:bCs w:val="0"/>
        </w:rPr>
        <w:t xml:space="preserve"> </w:t>
      </w:r>
      <w:r w:rsidR="00D74536">
        <w:rPr>
          <w:rStyle w:val="Strong"/>
          <w:b w:val="0"/>
          <w:bCs w:val="0"/>
        </w:rPr>
        <w:t xml:space="preserve">can do when they </w:t>
      </w:r>
      <w:r w:rsidRPr="004C1F9F">
        <w:rPr>
          <w:rStyle w:val="Strong"/>
          <w:b w:val="0"/>
          <w:bCs w:val="0"/>
        </w:rPr>
        <w:t xml:space="preserve">are </w:t>
      </w:r>
      <w:proofErr w:type="gramStart"/>
      <w:r w:rsidRPr="004C1F9F">
        <w:rPr>
          <w:rStyle w:val="Strong"/>
          <w:b w:val="0"/>
          <w:bCs w:val="0"/>
        </w:rPr>
        <w:t>sold</w:t>
      </w:r>
      <w:proofErr w:type="gramEnd"/>
      <w:r w:rsidRPr="004C1F9F">
        <w:rPr>
          <w:rStyle w:val="Strong"/>
          <w:b w:val="0"/>
          <w:bCs w:val="0"/>
        </w:rPr>
        <w:t xml:space="preserve"> defective goods.</w:t>
      </w:r>
    </w:p>
    <w:sdt>
      <w:sdtPr>
        <w:id w:val="-737397608"/>
        <w:docPartObj>
          <w:docPartGallery w:val="Table of Contents"/>
          <w:docPartUnique/>
        </w:docPartObj>
      </w:sdtPr>
      <w:sdtEndPr>
        <w:rPr>
          <w:rFonts w:asciiTheme="minorHAnsi" w:eastAsiaTheme="minorEastAsia" w:hAnsiTheme="minorHAnsi" w:cstheme="minorBidi"/>
          <w:b/>
          <w:bCs/>
          <w:noProof/>
          <w:color w:val="auto"/>
          <w:sz w:val="24"/>
          <w:szCs w:val="22"/>
        </w:rPr>
      </w:sdtEndPr>
      <w:sdtContent>
        <w:p w14:paraId="330843FE" w14:textId="4BC54576" w:rsidR="00742AF7" w:rsidRDefault="00742AF7">
          <w:pPr>
            <w:pStyle w:val="TOCHeading"/>
          </w:pPr>
          <w:r>
            <w:t>Contents</w:t>
          </w:r>
        </w:p>
        <w:p w14:paraId="1635F097" w14:textId="01FF5D74" w:rsidR="00742AF7" w:rsidRPr="00742AF7" w:rsidRDefault="00742AF7">
          <w:pPr>
            <w:pStyle w:val="TOC1"/>
            <w:rPr>
              <w:rFonts w:asciiTheme="minorHAnsi" w:hAnsiTheme="minorHAnsi"/>
              <w:kern w:val="2"/>
              <w:szCs w:val="24"/>
              <w14:ligatures w14:val="standardContextual"/>
            </w:rPr>
          </w:pPr>
          <w:r w:rsidRPr="00742AF7">
            <w:rPr>
              <w:rFonts w:asciiTheme="minorHAnsi" w:hAnsiTheme="minorHAnsi"/>
            </w:rPr>
            <w:fldChar w:fldCharType="begin"/>
          </w:r>
          <w:r w:rsidRPr="00742AF7">
            <w:rPr>
              <w:rFonts w:asciiTheme="minorHAnsi" w:hAnsiTheme="minorHAnsi"/>
            </w:rPr>
            <w:instrText xml:space="preserve"> TOC \o "1-3" \h \z \u </w:instrText>
          </w:r>
          <w:r w:rsidRPr="00742AF7">
            <w:rPr>
              <w:rFonts w:asciiTheme="minorHAnsi" w:hAnsiTheme="minorHAnsi"/>
            </w:rPr>
            <w:fldChar w:fldCharType="separate"/>
          </w:r>
          <w:hyperlink w:anchor="_Toc227241620" w:history="1">
            <w:r w:rsidRPr="00742AF7">
              <w:rPr>
                <w:rStyle w:val="Hyperlink"/>
                <w:rFonts w:asciiTheme="minorHAnsi" w:hAnsiTheme="minorHAnsi"/>
              </w:rPr>
              <w:t>5.1 Returns and Refunds</w:t>
            </w:r>
            <w:r w:rsidRPr="00742AF7">
              <w:rPr>
                <w:rFonts w:asciiTheme="minorHAnsi" w:hAnsiTheme="minorHAnsi"/>
                <w:webHidden/>
              </w:rPr>
              <w:tab/>
            </w:r>
            <w:r w:rsidRPr="00742AF7">
              <w:rPr>
                <w:rFonts w:asciiTheme="minorHAnsi" w:hAnsiTheme="minorHAnsi"/>
                <w:webHidden/>
              </w:rPr>
              <w:fldChar w:fldCharType="begin"/>
            </w:r>
            <w:r w:rsidRPr="00742AF7">
              <w:rPr>
                <w:rFonts w:asciiTheme="minorHAnsi" w:hAnsiTheme="minorHAnsi"/>
                <w:webHidden/>
              </w:rPr>
              <w:instrText xml:space="preserve"> PAGEREF _Toc227241620 \h </w:instrText>
            </w:r>
            <w:r w:rsidRPr="00742AF7">
              <w:rPr>
                <w:rFonts w:asciiTheme="minorHAnsi" w:hAnsiTheme="minorHAnsi"/>
                <w:webHidden/>
              </w:rPr>
            </w:r>
            <w:r w:rsidRPr="00742AF7">
              <w:rPr>
                <w:rFonts w:asciiTheme="minorHAnsi" w:hAnsiTheme="minorHAnsi"/>
                <w:webHidden/>
              </w:rPr>
              <w:fldChar w:fldCharType="separate"/>
            </w:r>
            <w:r w:rsidRPr="00742AF7">
              <w:rPr>
                <w:rFonts w:asciiTheme="minorHAnsi" w:hAnsiTheme="minorHAnsi"/>
                <w:webHidden/>
              </w:rPr>
              <w:t>1</w:t>
            </w:r>
            <w:r w:rsidRPr="00742AF7">
              <w:rPr>
                <w:rFonts w:asciiTheme="minorHAnsi" w:hAnsiTheme="minorHAnsi"/>
                <w:webHidden/>
              </w:rPr>
              <w:fldChar w:fldCharType="end"/>
            </w:r>
          </w:hyperlink>
        </w:p>
        <w:p w14:paraId="2E5B8B60" w14:textId="68FFDD92" w:rsidR="00742AF7" w:rsidRPr="00742AF7" w:rsidRDefault="00742AF7">
          <w:pPr>
            <w:pStyle w:val="TOC1"/>
            <w:rPr>
              <w:rFonts w:asciiTheme="minorHAnsi" w:hAnsiTheme="minorHAnsi"/>
              <w:kern w:val="2"/>
              <w:szCs w:val="24"/>
              <w14:ligatures w14:val="standardContextual"/>
            </w:rPr>
          </w:pPr>
          <w:hyperlink w:anchor="_Toc227241621" w:history="1">
            <w:r w:rsidRPr="00742AF7">
              <w:rPr>
                <w:rStyle w:val="Hyperlink"/>
                <w:rFonts w:asciiTheme="minorHAnsi" w:hAnsiTheme="minorHAnsi"/>
              </w:rPr>
              <w:t>5.2 Immediate Rejection of Defective Goods</w:t>
            </w:r>
            <w:r w:rsidRPr="00742AF7">
              <w:rPr>
                <w:rFonts w:asciiTheme="minorHAnsi" w:hAnsiTheme="minorHAnsi"/>
                <w:webHidden/>
              </w:rPr>
              <w:tab/>
            </w:r>
            <w:r w:rsidRPr="00742AF7">
              <w:rPr>
                <w:rFonts w:asciiTheme="minorHAnsi" w:hAnsiTheme="minorHAnsi"/>
                <w:webHidden/>
              </w:rPr>
              <w:fldChar w:fldCharType="begin"/>
            </w:r>
            <w:r w:rsidRPr="00742AF7">
              <w:rPr>
                <w:rFonts w:asciiTheme="minorHAnsi" w:hAnsiTheme="minorHAnsi"/>
                <w:webHidden/>
              </w:rPr>
              <w:instrText xml:space="preserve"> PAGEREF _Toc227241621 \h </w:instrText>
            </w:r>
            <w:r w:rsidRPr="00742AF7">
              <w:rPr>
                <w:rFonts w:asciiTheme="minorHAnsi" w:hAnsiTheme="minorHAnsi"/>
                <w:webHidden/>
              </w:rPr>
            </w:r>
            <w:r w:rsidRPr="00742AF7">
              <w:rPr>
                <w:rFonts w:asciiTheme="minorHAnsi" w:hAnsiTheme="minorHAnsi"/>
                <w:webHidden/>
              </w:rPr>
              <w:fldChar w:fldCharType="separate"/>
            </w:r>
            <w:r w:rsidRPr="00742AF7">
              <w:rPr>
                <w:rFonts w:asciiTheme="minorHAnsi" w:hAnsiTheme="minorHAnsi"/>
                <w:webHidden/>
              </w:rPr>
              <w:t>1</w:t>
            </w:r>
            <w:r w:rsidRPr="00742AF7">
              <w:rPr>
                <w:rFonts w:asciiTheme="minorHAnsi" w:hAnsiTheme="minorHAnsi"/>
                <w:webHidden/>
              </w:rPr>
              <w:fldChar w:fldCharType="end"/>
            </w:r>
          </w:hyperlink>
        </w:p>
        <w:p w14:paraId="08FEB666" w14:textId="5A83A8BE" w:rsidR="00742AF7" w:rsidRPr="00742AF7" w:rsidRDefault="00742AF7">
          <w:pPr>
            <w:pStyle w:val="TOC1"/>
            <w:rPr>
              <w:rFonts w:asciiTheme="minorHAnsi" w:hAnsiTheme="minorHAnsi"/>
              <w:kern w:val="2"/>
              <w:szCs w:val="24"/>
              <w14:ligatures w14:val="standardContextual"/>
            </w:rPr>
          </w:pPr>
          <w:hyperlink w:anchor="_Toc227241622" w:history="1">
            <w:r w:rsidRPr="00742AF7">
              <w:rPr>
                <w:rStyle w:val="Hyperlink"/>
                <w:rFonts w:asciiTheme="minorHAnsi" w:hAnsiTheme="minorHAnsi"/>
              </w:rPr>
              <w:t>5.3 How to Reject Defective Goods</w:t>
            </w:r>
            <w:r w:rsidRPr="00742AF7">
              <w:rPr>
                <w:rFonts w:asciiTheme="minorHAnsi" w:hAnsiTheme="minorHAnsi"/>
                <w:webHidden/>
              </w:rPr>
              <w:tab/>
            </w:r>
            <w:r w:rsidRPr="00742AF7">
              <w:rPr>
                <w:rFonts w:asciiTheme="minorHAnsi" w:hAnsiTheme="minorHAnsi"/>
                <w:webHidden/>
              </w:rPr>
              <w:fldChar w:fldCharType="begin"/>
            </w:r>
            <w:r w:rsidRPr="00742AF7">
              <w:rPr>
                <w:rFonts w:asciiTheme="minorHAnsi" w:hAnsiTheme="minorHAnsi"/>
                <w:webHidden/>
              </w:rPr>
              <w:instrText xml:space="preserve"> PAGEREF _Toc227241622 \h </w:instrText>
            </w:r>
            <w:r w:rsidRPr="00742AF7">
              <w:rPr>
                <w:rFonts w:asciiTheme="minorHAnsi" w:hAnsiTheme="minorHAnsi"/>
                <w:webHidden/>
              </w:rPr>
            </w:r>
            <w:r w:rsidRPr="00742AF7">
              <w:rPr>
                <w:rFonts w:asciiTheme="minorHAnsi" w:hAnsiTheme="minorHAnsi"/>
                <w:webHidden/>
              </w:rPr>
              <w:fldChar w:fldCharType="separate"/>
            </w:r>
            <w:r w:rsidRPr="00742AF7">
              <w:rPr>
                <w:rFonts w:asciiTheme="minorHAnsi" w:hAnsiTheme="minorHAnsi"/>
                <w:webHidden/>
              </w:rPr>
              <w:t>2</w:t>
            </w:r>
            <w:r w:rsidRPr="00742AF7">
              <w:rPr>
                <w:rFonts w:asciiTheme="minorHAnsi" w:hAnsiTheme="minorHAnsi"/>
                <w:webHidden/>
              </w:rPr>
              <w:fldChar w:fldCharType="end"/>
            </w:r>
          </w:hyperlink>
        </w:p>
        <w:p w14:paraId="2EA81656" w14:textId="39A96C1A" w:rsidR="00742AF7" w:rsidRPr="00742AF7" w:rsidRDefault="00742AF7">
          <w:pPr>
            <w:pStyle w:val="TOC1"/>
            <w:rPr>
              <w:rFonts w:asciiTheme="minorHAnsi" w:hAnsiTheme="minorHAnsi"/>
              <w:kern w:val="2"/>
              <w:szCs w:val="24"/>
              <w14:ligatures w14:val="standardContextual"/>
            </w:rPr>
          </w:pPr>
          <w:hyperlink w:anchor="_Toc227241623" w:history="1">
            <w:r w:rsidRPr="00742AF7">
              <w:rPr>
                <w:rStyle w:val="Hyperlink"/>
                <w:rFonts w:asciiTheme="minorHAnsi" w:hAnsiTheme="minorHAnsi"/>
              </w:rPr>
              <w:t>5.4 Layaway Sales</w:t>
            </w:r>
            <w:r w:rsidRPr="00742AF7">
              <w:rPr>
                <w:rFonts w:asciiTheme="minorHAnsi" w:hAnsiTheme="minorHAnsi"/>
                <w:webHidden/>
              </w:rPr>
              <w:tab/>
            </w:r>
            <w:r w:rsidRPr="00742AF7">
              <w:rPr>
                <w:rFonts w:asciiTheme="minorHAnsi" w:hAnsiTheme="minorHAnsi"/>
                <w:webHidden/>
              </w:rPr>
              <w:fldChar w:fldCharType="begin"/>
            </w:r>
            <w:r w:rsidRPr="00742AF7">
              <w:rPr>
                <w:rFonts w:asciiTheme="minorHAnsi" w:hAnsiTheme="minorHAnsi"/>
                <w:webHidden/>
              </w:rPr>
              <w:instrText xml:space="preserve"> PAGEREF _Toc227241623 \h </w:instrText>
            </w:r>
            <w:r w:rsidRPr="00742AF7">
              <w:rPr>
                <w:rFonts w:asciiTheme="minorHAnsi" w:hAnsiTheme="minorHAnsi"/>
                <w:webHidden/>
              </w:rPr>
            </w:r>
            <w:r w:rsidRPr="00742AF7">
              <w:rPr>
                <w:rFonts w:asciiTheme="minorHAnsi" w:hAnsiTheme="minorHAnsi"/>
                <w:webHidden/>
              </w:rPr>
              <w:fldChar w:fldCharType="separate"/>
            </w:r>
            <w:r w:rsidRPr="00742AF7">
              <w:rPr>
                <w:rFonts w:asciiTheme="minorHAnsi" w:hAnsiTheme="minorHAnsi"/>
                <w:webHidden/>
              </w:rPr>
              <w:t>2</w:t>
            </w:r>
            <w:r w:rsidRPr="00742AF7">
              <w:rPr>
                <w:rFonts w:asciiTheme="minorHAnsi" w:hAnsiTheme="minorHAnsi"/>
                <w:webHidden/>
              </w:rPr>
              <w:fldChar w:fldCharType="end"/>
            </w:r>
          </w:hyperlink>
        </w:p>
        <w:p w14:paraId="016DAC53" w14:textId="5A549C2F" w:rsidR="00742AF7" w:rsidRPr="00742AF7" w:rsidRDefault="00742AF7">
          <w:pPr>
            <w:pStyle w:val="TOC1"/>
            <w:rPr>
              <w:rFonts w:asciiTheme="minorHAnsi" w:hAnsiTheme="minorHAnsi"/>
              <w:kern w:val="2"/>
              <w:szCs w:val="24"/>
              <w14:ligatures w14:val="standardContextual"/>
            </w:rPr>
          </w:pPr>
          <w:hyperlink w:anchor="_Toc227241624" w:history="1">
            <w:r w:rsidRPr="00742AF7">
              <w:rPr>
                <w:rStyle w:val="Hyperlink"/>
                <w:rFonts w:asciiTheme="minorHAnsi" w:hAnsiTheme="minorHAnsi"/>
              </w:rPr>
              <w:t>5.5 When the Defect Is Not Immediately Discovered</w:t>
            </w:r>
            <w:r w:rsidRPr="00742AF7">
              <w:rPr>
                <w:rFonts w:asciiTheme="minorHAnsi" w:hAnsiTheme="minorHAnsi"/>
                <w:webHidden/>
              </w:rPr>
              <w:tab/>
            </w:r>
            <w:r w:rsidRPr="00742AF7">
              <w:rPr>
                <w:rFonts w:asciiTheme="minorHAnsi" w:hAnsiTheme="minorHAnsi"/>
                <w:webHidden/>
              </w:rPr>
              <w:fldChar w:fldCharType="begin"/>
            </w:r>
            <w:r w:rsidRPr="00742AF7">
              <w:rPr>
                <w:rFonts w:asciiTheme="minorHAnsi" w:hAnsiTheme="minorHAnsi"/>
                <w:webHidden/>
              </w:rPr>
              <w:instrText xml:space="preserve"> PAGEREF _Toc227241624 \h </w:instrText>
            </w:r>
            <w:r w:rsidRPr="00742AF7">
              <w:rPr>
                <w:rFonts w:asciiTheme="minorHAnsi" w:hAnsiTheme="minorHAnsi"/>
                <w:webHidden/>
              </w:rPr>
            </w:r>
            <w:r w:rsidRPr="00742AF7">
              <w:rPr>
                <w:rFonts w:asciiTheme="minorHAnsi" w:hAnsiTheme="minorHAnsi"/>
                <w:webHidden/>
              </w:rPr>
              <w:fldChar w:fldCharType="separate"/>
            </w:r>
            <w:r w:rsidRPr="00742AF7">
              <w:rPr>
                <w:rFonts w:asciiTheme="minorHAnsi" w:hAnsiTheme="minorHAnsi"/>
                <w:webHidden/>
              </w:rPr>
              <w:t>2</w:t>
            </w:r>
            <w:r w:rsidRPr="00742AF7">
              <w:rPr>
                <w:rFonts w:asciiTheme="minorHAnsi" w:hAnsiTheme="minorHAnsi"/>
                <w:webHidden/>
              </w:rPr>
              <w:fldChar w:fldCharType="end"/>
            </w:r>
          </w:hyperlink>
        </w:p>
        <w:p w14:paraId="67789FC7" w14:textId="2D8B8ACB" w:rsidR="00742AF7" w:rsidRPr="00742AF7" w:rsidRDefault="00742AF7">
          <w:pPr>
            <w:pStyle w:val="TOC1"/>
            <w:rPr>
              <w:rFonts w:asciiTheme="minorHAnsi" w:hAnsiTheme="minorHAnsi"/>
              <w:kern w:val="2"/>
              <w:szCs w:val="24"/>
              <w14:ligatures w14:val="standardContextual"/>
            </w:rPr>
          </w:pPr>
          <w:hyperlink w:anchor="_Toc227241625" w:history="1">
            <w:r w:rsidRPr="00742AF7">
              <w:rPr>
                <w:rStyle w:val="Hyperlink"/>
                <w:rFonts w:asciiTheme="minorHAnsi" w:hAnsiTheme="minorHAnsi"/>
              </w:rPr>
              <w:t>5.6 Damages</w:t>
            </w:r>
            <w:r w:rsidRPr="00742AF7">
              <w:rPr>
                <w:rFonts w:asciiTheme="minorHAnsi" w:hAnsiTheme="minorHAnsi"/>
                <w:webHidden/>
              </w:rPr>
              <w:tab/>
            </w:r>
            <w:r w:rsidRPr="00742AF7">
              <w:rPr>
                <w:rFonts w:asciiTheme="minorHAnsi" w:hAnsiTheme="minorHAnsi"/>
                <w:webHidden/>
              </w:rPr>
              <w:fldChar w:fldCharType="begin"/>
            </w:r>
            <w:r w:rsidRPr="00742AF7">
              <w:rPr>
                <w:rFonts w:asciiTheme="minorHAnsi" w:hAnsiTheme="minorHAnsi"/>
                <w:webHidden/>
              </w:rPr>
              <w:instrText xml:space="preserve"> PAGEREF _Toc227241625 \h </w:instrText>
            </w:r>
            <w:r w:rsidRPr="00742AF7">
              <w:rPr>
                <w:rFonts w:asciiTheme="minorHAnsi" w:hAnsiTheme="minorHAnsi"/>
                <w:webHidden/>
              </w:rPr>
            </w:r>
            <w:r w:rsidRPr="00742AF7">
              <w:rPr>
                <w:rFonts w:asciiTheme="minorHAnsi" w:hAnsiTheme="minorHAnsi"/>
                <w:webHidden/>
              </w:rPr>
              <w:fldChar w:fldCharType="separate"/>
            </w:r>
            <w:r w:rsidRPr="00742AF7">
              <w:rPr>
                <w:rFonts w:asciiTheme="minorHAnsi" w:hAnsiTheme="minorHAnsi"/>
                <w:webHidden/>
              </w:rPr>
              <w:t>3</w:t>
            </w:r>
            <w:r w:rsidRPr="00742AF7">
              <w:rPr>
                <w:rFonts w:asciiTheme="minorHAnsi" w:hAnsiTheme="minorHAnsi"/>
                <w:webHidden/>
              </w:rPr>
              <w:fldChar w:fldCharType="end"/>
            </w:r>
          </w:hyperlink>
        </w:p>
        <w:p w14:paraId="199674E8" w14:textId="204EDC6A" w:rsidR="00742AF7" w:rsidRPr="00742AF7" w:rsidRDefault="00742AF7">
          <w:pPr>
            <w:pStyle w:val="TOC1"/>
            <w:rPr>
              <w:rFonts w:asciiTheme="minorHAnsi" w:hAnsiTheme="minorHAnsi"/>
              <w:kern w:val="2"/>
              <w:szCs w:val="24"/>
              <w14:ligatures w14:val="standardContextual"/>
            </w:rPr>
          </w:pPr>
          <w:hyperlink w:anchor="_Toc227241626" w:history="1">
            <w:r w:rsidRPr="00742AF7">
              <w:rPr>
                <w:rStyle w:val="Hyperlink"/>
                <w:rFonts w:asciiTheme="minorHAnsi" w:hAnsiTheme="minorHAnsi"/>
              </w:rPr>
              <w:t>5.7 Unfair Trade Practices</w:t>
            </w:r>
            <w:r w:rsidRPr="00742AF7">
              <w:rPr>
                <w:rFonts w:asciiTheme="minorHAnsi" w:hAnsiTheme="minorHAnsi"/>
                <w:webHidden/>
              </w:rPr>
              <w:tab/>
            </w:r>
            <w:r w:rsidRPr="00742AF7">
              <w:rPr>
                <w:rFonts w:asciiTheme="minorHAnsi" w:hAnsiTheme="minorHAnsi"/>
                <w:webHidden/>
              </w:rPr>
              <w:fldChar w:fldCharType="begin"/>
            </w:r>
            <w:r w:rsidRPr="00742AF7">
              <w:rPr>
                <w:rFonts w:asciiTheme="minorHAnsi" w:hAnsiTheme="minorHAnsi"/>
                <w:webHidden/>
              </w:rPr>
              <w:instrText xml:space="preserve"> PAGEREF _Toc227241626 \h </w:instrText>
            </w:r>
            <w:r w:rsidRPr="00742AF7">
              <w:rPr>
                <w:rFonts w:asciiTheme="minorHAnsi" w:hAnsiTheme="minorHAnsi"/>
                <w:webHidden/>
              </w:rPr>
            </w:r>
            <w:r w:rsidRPr="00742AF7">
              <w:rPr>
                <w:rFonts w:asciiTheme="minorHAnsi" w:hAnsiTheme="minorHAnsi"/>
                <w:webHidden/>
              </w:rPr>
              <w:fldChar w:fldCharType="separate"/>
            </w:r>
            <w:r w:rsidRPr="00742AF7">
              <w:rPr>
                <w:rFonts w:asciiTheme="minorHAnsi" w:hAnsiTheme="minorHAnsi"/>
                <w:webHidden/>
              </w:rPr>
              <w:t>3</w:t>
            </w:r>
            <w:r w:rsidRPr="00742AF7">
              <w:rPr>
                <w:rFonts w:asciiTheme="minorHAnsi" w:hAnsiTheme="minorHAnsi"/>
                <w:webHidden/>
              </w:rPr>
              <w:fldChar w:fldCharType="end"/>
            </w:r>
          </w:hyperlink>
        </w:p>
        <w:p w14:paraId="3C0F9E88" w14:textId="6C9C3721" w:rsidR="00742AF7" w:rsidRPr="00742AF7" w:rsidRDefault="00742AF7">
          <w:pPr>
            <w:pStyle w:val="TOC1"/>
            <w:rPr>
              <w:rFonts w:asciiTheme="minorHAnsi" w:hAnsiTheme="minorHAnsi"/>
              <w:kern w:val="2"/>
              <w:szCs w:val="24"/>
              <w14:ligatures w14:val="standardContextual"/>
            </w:rPr>
          </w:pPr>
          <w:hyperlink w:anchor="_Toc227241627" w:history="1">
            <w:r w:rsidRPr="00742AF7">
              <w:rPr>
                <w:rStyle w:val="Hyperlink"/>
                <w:rFonts w:asciiTheme="minorHAnsi" w:hAnsiTheme="minorHAnsi"/>
              </w:rPr>
              <w:t>5.8 Statute of Limitations</w:t>
            </w:r>
            <w:r w:rsidRPr="00742AF7">
              <w:rPr>
                <w:rFonts w:asciiTheme="minorHAnsi" w:hAnsiTheme="minorHAnsi"/>
                <w:webHidden/>
              </w:rPr>
              <w:tab/>
            </w:r>
            <w:r w:rsidRPr="00742AF7">
              <w:rPr>
                <w:rFonts w:asciiTheme="minorHAnsi" w:hAnsiTheme="minorHAnsi"/>
                <w:webHidden/>
              </w:rPr>
              <w:fldChar w:fldCharType="begin"/>
            </w:r>
            <w:r w:rsidRPr="00742AF7">
              <w:rPr>
                <w:rFonts w:asciiTheme="minorHAnsi" w:hAnsiTheme="minorHAnsi"/>
                <w:webHidden/>
              </w:rPr>
              <w:instrText xml:space="preserve"> PAGEREF _Toc227241627 \h </w:instrText>
            </w:r>
            <w:r w:rsidRPr="00742AF7">
              <w:rPr>
                <w:rFonts w:asciiTheme="minorHAnsi" w:hAnsiTheme="minorHAnsi"/>
                <w:webHidden/>
              </w:rPr>
            </w:r>
            <w:r w:rsidRPr="00742AF7">
              <w:rPr>
                <w:rFonts w:asciiTheme="minorHAnsi" w:hAnsiTheme="minorHAnsi"/>
                <w:webHidden/>
              </w:rPr>
              <w:fldChar w:fldCharType="separate"/>
            </w:r>
            <w:r w:rsidRPr="00742AF7">
              <w:rPr>
                <w:rFonts w:asciiTheme="minorHAnsi" w:hAnsiTheme="minorHAnsi"/>
                <w:webHidden/>
              </w:rPr>
              <w:t>4</w:t>
            </w:r>
            <w:r w:rsidRPr="00742AF7">
              <w:rPr>
                <w:rFonts w:asciiTheme="minorHAnsi" w:hAnsiTheme="minorHAnsi"/>
                <w:webHidden/>
              </w:rPr>
              <w:fldChar w:fldCharType="end"/>
            </w:r>
          </w:hyperlink>
        </w:p>
        <w:p w14:paraId="3E418E5D" w14:textId="3F2EBDE4" w:rsidR="00742AF7" w:rsidRPr="00742AF7" w:rsidRDefault="00742AF7">
          <w:pPr>
            <w:pStyle w:val="TOC1"/>
            <w:rPr>
              <w:rFonts w:asciiTheme="minorHAnsi" w:hAnsiTheme="minorHAnsi"/>
              <w:kern w:val="2"/>
              <w:szCs w:val="24"/>
              <w14:ligatures w14:val="standardContextual"/>
            </w:rPr>
          </w:pPr>
          <w:hyperlink w:anchor="_Toc227241628" w:history="1">
            <w:r w:rsidRPr="00742AF7">
              <w:rPr>
                <w:rStyle w:val="Hyperlink"/>
                <w:rFonts w:asciiTheme="minorHAnsi" w:hAnsiTheme="minorHAnsi"/>
              </w:rPr>
              <w:t>5.10 Return of Deposits</w:t>
            </w:r>
            <w:r w:rsidRPr="00742AF7">
              <w:rPr>
                <w:rFonts w:asciiTheme="minorHAnsi" w:hAnsiTheme="minorHAnsi"/>
                <w:webHidden/>
              </w:rPr>
              <w:tab/>
            </w:r>
            <w:r w:rsidRPr="00742AF7">
              <w:rPr>
                <w:rFonts w:asciiTheme="minorHAnsi" w:hAnsiTheme="minorHAnsi"/>
                <w:webHidden/>
              </w:rPr>
              <w:fldChar w:fldCharType="begin"/>
            </w:r>
            <w:r w:rsidRPr="00742AF7">
              <w:rPr>
                <w:rFonts w:asciiTheme="minorHAnsi" w:hAnsiTheme="minorHAnsi"/>
                <w:webHidden/>
              </w:rPr>
              <w:instrText xml:space="preserve"> PAGEREF _Toc227241628 \h </w:instrText>
            </w:r>
            <w:r w:rsidRPr="00742AF7">
              <w:rPr>
                <w:rFonts w:asciiTheme="minorHAnsi" w:hAnsiTheme="minorHAnsi"/>
                <w:webHidden/>
              </w:rPr>
            </w:r>
            <w:r w:rsidRPr="00742AF7">
              <w:rPr>
                <w:rFonts w:asciiTheme="minorHAnsi" w:hAnsiTheme="minorHAnsi"/>
                <w:webHidden/>
              </w:rPr>
              <w:fldChar w:fldCharType="separate"/>
            </w:r>
            <w:r w:rsidRPr="00742AF7">
              <w:rPr>
                <w:rFonts w:asciiTheme="minorHAnsi" w:hAnsiTheme="minorHAnsi"/>
                <w:webHidden/>
              </w:rPr>
              <w:t>4</w:t>
            </w:r>
            <w:r w:rsidRPr="00742AF7">
              <w:rPr>
                <w:rFonts w:asciiTheme="minorHAnsi" w:hAnsiTheme="minorHAnsi"/>
                <w:webHidden/>
              </w:rPr>
              <w:fldChar w:fldCharType="end"/>
            </w:r>
          </w:hyperlink>
        </w:p>
        <w:p w14:paraId="73FF6025" w14:textId="17CBD6C0" w:rsidR="00742AF7" w:rsidRPr="00742AF7" w:rsidRDefault="00742AF7">
          <w:pPr>
            <w:pStyle w:val="TOC1"/>
            <w:rPr>
              <w:rFonts w:asciiTheme="minorHAnsi" w:hAnsiTheme="minorHAnsi"/>
              <w:kern w:val="2"/>
              <w:szCs w:val="24"/>
              <w14:ligatures w14:val="standardContextual"/>
            </w:rPr>
          </w:pPr>
          <w:hyperlink w:anchor="_Toc227241629" w:history="1">
            <w:r w:rsidRPr="00742AF7">
              <w:rPr>
                <w:rStyle w:val="Hyperlink"/>
                <w:rFonts w:asciiTheme="minorHAnsi" w:hAnsiTheme="minorHAnsi"/>
              </w:rPr>
              <w:t>5.11 Deposits on Contracts for Services</w:t>
            </w:r>
            <w:r w:rsidRPr="00742AF7">
              <w:rPr>
                <w:rFonts w:asciiTheme="minorHAnsi" w:hAnsiTheme="minorHAnsi"/>
                <w:webHidden/>
              </w:rPr>
              <w:tab/>
            </w:r>
            <w:r w:rsidRPr="00742AF7">
              <w:rPr>
                <w:rFonts w:asciiTheme="minorHAnsi" w:hAnsiTheme="minorHAnsi"/>
                <w:webHidden/>
              </w:rPr>
              <w:fldChar w:fldCharType="begin"/>
            </w:r>
            <w:r w:rsidRPr="00742AF7">
              <w:rPr>
                <w:rFonts w:asciiTheme="minorHAnsi" w:hAnsiTheme="minorHAnsi"/>
                <w:webHidden/>
              </w:rPr>
              <w:instrText xml:space="preserve"> PAGEREF _Toc227241629 \h </w:instrText>
            </w:r>
            <w:r w:rsidRPr="00742AF7">
              <w:rPr>
                <w:rFonts w:asciiTheme="minorHAnsi" w:hAnsiTheme="minorHAnsi"/>
                <w:webHidden/>
              </w:rPr>
            </w:r>
            <w:r w:rsidRPr="00742AF7">
              <w:rPr>
                <w:rFonts w:asciiTheme="minorHAnsi" w:hAnsiTheme="minorHAnsi"/>
                <w:webHidden/>
              </w:rPr>
              <w:fldChar w:fldCharType="separate"/>
            </w:r>
            <w:r w:rsidRPr="00742AF7">
              <w:rPr>
                <w:rFonts w:asciiTheme="minorHAnsi" w:hAnsiTheme="minorHAnsi"/>
                <w:webHidden/>
              </w:rPr>
              <w:t>5</w:t>
            </w:r>
            <w:r w:rsidRPr="00742AF7">
              <w:rPr>
                <w:rFonts w:asciiTheme="minorHAnsi" w:hAnsiTheme="minorHAnsi"/>
                <w:webHidden/>
              </w:rPr>
              <w:fldChar w:fldCharType="end"/>
            </w:r>
          </w:hyperlink>
        </w:p>
        <w:p w14:paraId="27186DE5" w14:textId="7919A73C" w:rsidR="00742AF7" w:rsidRPr="00742AF7" w:rsidRDefault="00742AF7">
          <w:pPr>
            <w:pStyle w:val="TOC2"/>
            <w:tabs>
              <w:tab w:val="right" w:leader="dot" w:pos="10070"/>
            </w:tabs>
            <w:rPr>
              <w:noProof/>
              <w:kern w:val="2"/>
              <w:szCs w:val="24"/>
              <w14:ligatures w14:val="standardContextual"/>
            </w:rPr>
          </w:pPr>
          <w:hyperlink w:anchor="_Toc227241630" w:history="1">
            <w:r w:rsidRPr="00742AF7">
              <w:rPr>
                <w:rStyle w:val="Hyperlink"/>
                <w:noProof/>
              </w:rPr>
              <w:t>Substantial Breach</w:t>
            </w:r>
            <w:r w:rsidRPr="00742AF7">
              <w:rPr>
                <w:noProof/>
                <w:webHidden/>
              </w:rPr>
              <w:tab/>
            </w:r>
            <w:r w:rsidRPr="00742AF7">
              <w:rPr>
                <w:noProof/>
                <w:webHidden/>
              </w:rPr>
              <w:fldChar w:fldCharType="begin"/>
            </w:r>
            <w:r w:rsidRPr="00742AF7">
              <w:rPr>
                <w:noProof/>
                <w:webHidden/>
              </w:rPr>
              <w:instrText xml:space="preserve"> PAGEREF _Toc227241630 \h </w:instrText>
            </w:r>
            <w:r w:rsidRPr="00742AF7">
              <w:rPr>
                <w:noProof/>
                <w:webHidden/>
              </w:rPr>
            </w:r>
            <w:r w:rsidRPr="00742AF7">
              <w:rPr>
                <w:noProof/>
                <w:webHidden/>
              </w:rPr>
              <w:fldChar w:fldCharType="separate"/>
            </w:r>
            <w:r w:rsidRPr="00742AF7">
              <w:rPr>
                <w:noProof/>
                <w:webHidden/>
              </w:rPr>
              <w:t>5</w:t>
            </w:r>
            <w:r w:rsidRPr="00742AF7">
              <w:rPr>
                <w:noProof/>
                <w:webHidden/>
              </w:rPr>
              <w:fldChar w:fldCharType="end"/>
            </w:r>
          </w:hyperlink>
        </w:p>
        <w:p w14:paraId="6F3CA6CE" w14:textId="55E23A04" w:rsidR="00742AF7" w:rsidRPr="00742AF7" w:rsidRDefault="00742AF7">
          <w:pPr>
            <w:pStyle w:val="TOC2"/>
            <w:tabs>
              <w:tab w:val="right" w:leader="dot" w:pos="10070"/>
            </w:tabs>
            <w:rPr>
              <w:noProof/>
              <w:kern w:val="2"/>
              <w:szCs w:val="24"/>
              <w14:ligatures w14:val="standardContextual"/>
            </w:rPr>
          </w:pPr>
          <w:hyperlink w:anchor="_Toc227241631" w:history="1">
            <w:r w:rsidRPr="00742AF7">
              <w:rPr>
                <w:rStyle w:val="Hyperlink"/>
                <w:noProof/>
              </w:rPr>
              <w:t>Damages</w:t>
            </w:r>
            <w:r w:rsidRPr="00742AF7">
              <w:rPr>
                <w:noProof/>
                <w:webHidden/>
              </w:rPr>
              <w:tab/>
            </w:r>
            <w:r w:rsidRPr="00742AF7">
              <w:rPr>
                <w:noProof/>
                <w:webHidden/>
              </w:rPr>
              <w:fldChar w:fldCharType="begin"/>
            </w:r>
            <w:r w:rsidRPr="00742AF7">
              <w:rPr>
                <w:noProof/>
                <w:webHidden/>
              </w:rPr>
              <w:instrText xml:space="preserve"> PAGEREF _Toc227241631 \h </w:instrText>
            </w:r>
            <w:r w:rsidRPr="00742AF7">
              <w:rPr>
                <w:noProof/>
                <w:webHidden/>
              </w:rPr>
            </w:r>
            <w:r w:rsidRPr="00742AF7">
              <w:rPr>
                <w:noProof/>
                <w:webHidden/>
              </w:rPr>
              <w:fldChar w:fldCharType="separate"/>
            </w:r>
            <w:r w:rsidRPr="00742AF7">
              <w:rPr>
                <w:noProof/>
                <w:webHidden/>
              </w:rPr>
              <w:t>5</w:t>
            </w:r>
            <w:r w:rsidRPr="00742AF7">
              <w:rPr>
                <w:noProof/>
                <w:webHidden/>
              </w:rPr>
              <w:fldChar w:fldCharType="end"/>
            </w:r>
          </w:hyperlink>
        </w:p>
        <w:p w14:paraId="04D82B05" w14:textId="29EE23DB" w:rsidR="00742AF7" w:rsidRPr="00742AF7" w:rsidRDefault="00742AF7">
          <w:pPr>
            <w:pStyle w:val="TOC1"/>
            <w:rPr>
              <w:rFonts w:asciiTheme="minorHAnsi" w:hAnsiTheme="minorHAnsi"/>
              <w:kern w:val="2"/>
              <w:szCs w:val="24"/>
              <w14:ligatures w14:val="standardContextual"/>
            </w:rPr>
          </w:pPr>
          <w:hyperlink w:anchor="_Toc227241632" w:history="1">
            <w:r w:rsidRPr="00742AF7">
              <w:rPr>
                <w:rStyle w:val="Hyperlink"/>
                <w:rFonts w:asciiTheme="minorHAnsi" w:hAnsiTheme="minorHAnsi"/>
              </w:rPr>
              <w:t>5.13 Magnuson-Moss Consumer Warranty Act</w:t>
            </w:r>
            <w:r w:rsidRPr="00742AF7">
              <w:rPr>
                <w:rFonts w:asciiTheme="minorHAnsi" w:hAnsiTheme="minorHAnsi"/>
                <w:webHidden/>
              </w:rPr>
              <w:tab/>
            </w:r>
            <w:r w:rsidRPr="00742AF7">
              <w:rPr>
                <w:rFonts w:asciiTheme="minorHAnsi" w:hAnsiTheme="minorHAnsi"/>
                <w:webHidden/>
              </w:rPr>
              <w:fldChar w:fldCharType="begin"/>
            </w:r>
            <w:r w:rsidRPr="00742AF7">
              <w:rPr>
                <w:rFonts w:asciiTheme="minorHAnsi" w:hAnsiTheme="minorHAnsi"/>
                <w:webHidden/>
              </w:rPr>
              <w:instrText xml:space="preserve"> PAGEREF _Toc227241632 \h </w:instrText>
            </w:r>
            <w:r w:rsidRPr="00742AF7">
              <w:rPr>
                <w:rFonts w:asciiTheme="minorHAnsi" w:hAnsiTheme="minorHAnsi"/>
                <w:webHidden/>
              </w:rPr>
            </w:r>
            <w:r w:rsidRPr="00742AF7">
              <w:rPr>
                <w:rFonts w:asciiTheme="minorHAnsi" w:hAnsiTheme="minorHAnsi"/>
                <w:webHidden/>
              </w:rPr>
              <w:fldChar w:fldCharType="separate"/>
            </w:r>
            <w:r w:rsidRPr="00742AF7">
              <w:rPr>
                <w:rFonts w:asciiTheme="minorHAnsi" w:hAnsiTheme="minorHAnsi"/>
                <w:webHidden/>
              </w:rPr>
              <w:t>5</w:t>
            </w:r>
            <w:r w:rsidRPr="00742AF7">
              <w:rPr>
                <w:rFonts w:asciiTheme="minorHAnsi" w:hAnsiTheme="minorHAnsi"/>
                <w:webHidden/>
              </w:rPr>
              <w:fldChar w:fldCharType="end"/>
            </w:r>
          </w:hyperlink>
        </w:p>
        <w:p w14:paraId="73F70DCB" w14:textId="190B6A11" w:rsidR="00742AF7" w:rsidRPr="00742AF7" w:rsidRDefault="00742AF7">
          <w:pPr>
            <w:pStyle w:val="TOC1"/>
            <w:rPr>
              <w:rFonts w:asciiTheme="minorHAnsi" w:hAnsiTheme="minorHAnsi"/>
              <w:kern w:val="2"/>
              <w:szCs w:val="24"/>
              <w14:ligatures w14:val="standardContextual"/>
            </w:rPr>
          </w:pPr>
          <w:hyperlink w:anchor="_Toc227241633" w:history="1">
            <w:r w:rsidRPr="00742AF7">
              <w:rPr>
                <w:rStyle w:val="Hyperlink"/>
                <w:rFonts w:asciiTheme="minorHAnsi" w:hAnsiTheme="minorHAnsi"/>
              </w:rPr>
              <w:t>5.14 “As-Is” Sales</w:t>
            </w:r>
            <w:r w:rsidRPr="00742AF7">
              <w:rPr>
                <w:rFonts w:asciiTheme="minorHAnsi" w:hAnsiTheme="minorHAnsi"/>
                <w:webHidden/>
              </w:rPr>
              <w:tab/>
            </w:r>
            <w:r w:rsidRPr="00742AF7">
              <w:rPr>
                <w:rFonts w:asciiTheme="minorHAnsi" w:hAnsiTheme="minorHAnsi"/>
                <w:webHidden/>
              </w:rPr>
              <w:fldChar w:fldCharType="begin"/>
            </w:r>
            <w:r w:rsidRPr="00742AF7">
              <w:rPr>
                <w:rFonts w:asciiTheme="minorHAnsi" w:hAnsiTheme="minorHAnsi"/>
                <w:webHidden/>
              </w:rPr>
              <w:instrText xml:space="preserve"> PAGEREF _Toc227241633 \h </w:instrText>
            </w:r>
            <w:r w:rsidRPr="00742AF7">
              <w:rPr>
                <w:rFonts w:asciiTheme="minorHAnsi" w:hAnsiTheme="minorHAnsi"/>
                <w:webHidden/>
              </w:rPr>
            </w:r>
            <w:r w:rsidRPr="00742AF7">
              <w:rPr>
                <w:rFonts w:asciiTheme="minorHAnsi" w:hAnsiTheme="minorHAnsi"/>
                <w:webHidden/>
              </w:rPr>
              <w:fldChar w:fldCharType="separate"/>
            </w:r>
            <w:r w:rsidRPr="00742AF7">
              <w:rPr>
                <w:rFonts w:asciiTheme="minorHAnsi" w:hAnsiTheme="minorHAnsi"/>
                <w:webHidden/>
              </w:rPr>
              <w:t>6</w:t>
            </w:r>
            <w:r w:rsidRPr="00742AF7">
              <w:rPr>
                <w:rFonts w:asciiTheme="minorHAnsi" w:hAnsiTheme="minorHAnsi"/>
                <w:webHidden/>
              </w:rPr>
              <w:fldChar w:fldCharType="end"/>
            </w:r>
          </w:hyperlink>
        </w:p>
        <w:p w14:paraId="67D920AD" w14:textId="645B2622" w:rsidR="00742AF7" w:rsidRPr="00742AF7" w:rsidRDefault="00742AF7">
          <w:pPr>
            <w:pStyle w:val="TOC1"/>
            <w:rPr>
              <w:rFonts w:asciiTheme="minorHAnsi" w:hAnsiTheme="minorHAnsi"/>
              <w:kern w:val="2"/>
              <w:szCs w:val="24"/>
              <w14:ligatures w14:val="standardContextual"/>
            </w:rPr>
          </w:pPr>
          <w:hyperlink w:anchor="_Toc227241634" w:history="1">
            <w:r w:rsidRPr="00742AF7">
              <w:rPr>
                <w:rStyle w:val="Hyperlink"/>
                <w:rFonts w:asciiTheme="minorHAnsi" w:hAnsiTheme="minorHAnsi"/>
              </w:rPr>
              <w:t>5.15 Dangerous Consumer Goods</w:t>
            </w:r>
            <w:r w:rsidRPr="00742AF7">
              <w:rPr>
                <w:rFonts w:asciiTheme="minorHAnsi" w:hAnsiTheme="minorHAnsi"/>
                <w:webHidden/>
              </w:rPr>
              <w:tab/>
            </w:r>
            <w:r w:rsidRPr="00742AF7">
              <w:rPr>
                <w:rFonts w:asciiTheme="minorHAnsi" w:hAnsiTheme="minorHAnsi"/>
                <w:webHidden/>
              </w:rPr>
              <w:fldChar w:fldCharType="begin"/>
            </w:r>
            <w:r w:rsidRPr="00742AF7">
              <w:rPr>
                <w:rFonts w:asciiTheme="minorHAnsi" w:hAnsiTheme="minorHAnsi"/>
                <w:webHidden/>
              </w:rPr>
              <w:instrText xml:space="preserve"> PAGEREF _Toc227241634 \h </w:instrText>
            </w:r>
            <w:r w:rsidRPr="00742AF7">
              <w:rPr>
                <w:rFonts w:asciiTheme="minorHAnsi" w:hAnsiTheme="minorHAnsi"/>
                <w:webHidden/>
              </w:rPr>
            </w:r>
            <w:r w:rsidRPr="00742AF7">
              <w:rPr>
                <w:rFonts w:asciiTheme="minorHAnsi" w:hAnsiTheme="minorHAnsi"/>
                <w:webHidden/>
              </w:rPr>
              <w:fldChar w:fldCharType="separate"/>
            </w:r>
            <w:r w:rsidRPr="00742AF7">
              <w:rPr>
                <w:rFonts w:asciiTheme="minorHAnsi" w:hAnsiTheme="minorHAnsi"/>
                <w:webHidden/>
              </w:rPr>
              <w:t>6</w:t>
            </w:r>
            <w:r w:rsidRPr="00742AF7">
              <w:rPr>
                <w:rFonts w:asciiTheme="minorHAnsi" w:hAnsiTheme="minorHAnsi"/>
                <w:webHidden/>
              </w:rPr>
              <w:fldChar w:fldCharType="end"/>
            </w:r>
          </w:hyperlink>
        </w:p>
        <w:p w14:paraId="0FC77779" w14:textId="0F9ED5E0" w:rsidR="00742AF7" w:rsidRPr="00742AF7" w:rsidRDefault="00742AF7">
          <w:pPr>
            <w:pStyle w:val="TOC1"/>
            <w:rPr>
              <w:rFonts w:asciiTheme="minorHAnsi" w:hAnsiTheme="minorHAnsi"/>
              <w:kern w:val="2"/>
              <w:szCs w:val="24"/>
              <w14:ligatures w14:val="standardContextual"/>
            </w:rPr>
          </w:pPr>
          <w:hyperlink w:anchor="_Toc227241635" w:history="1">
            <w:r w:rsidRPr="00742AF7">
              <w:rPr>
                <w:rStyle w:val="Hyperlink"/>
                <w:rFonts w:asciiTheme="minorHAnsi" w:hAnsiTheme="minorHAnsi"/>
              </w:rPr>
              <w:t>5.16 Leases and Rent-To-Own Transactions</w:t>
            </w:r>
            <w:r w:rsidRPr="00742AF7">
              <w:rPr>
                <w:rFonts w:asciiTheme="minorHAnsi" w:hAnsiTheme="minorHAnsi"/>
                <w:webHidden/>
              </w:rPr>
              <w:tab/>
            </w:r>
            <w:r w:rsidRPr="00742AF7">
              <w:rPr>
                <w:rFonts w:asciiTheme="minorHAnsi" w:hAnsiTheme="minorHAnsi"/>
                <w:webHidden/>
              </w:rPr>
              <w:fldChar w:fldCharType="begin"/>
            </w:r>
            <w:r w:rsidRPr="00742AF7">
              <w:rPr>
                <w:rFonts w:asciiTheme="minorHAnsi" w:hAnsiTheme="minorHAnsi"/>
                <w:webHidden/>
              </w:rPr>
              <w:instrText xml:space="preserve"> PAGEREF _Toc227241635 \h </w:instrText>
            </w:r>
            <w:r w:rsidRPr="00742AF7">
              <w:rPr>
                <w:rFonts w:asciiTheme="minorHAnsi" w:hAnsiTheme="minorHAnsi"/>
                <w:webHidden/>
              </w:rPr>
            </w:r>
            <w:r w:rsidRPr="00742AF7">
              <w:rPr>
                <w:rFonts w:asciiTheme="minorHAnsi" w:hAnsiTheme="minorHAnsi"/>
                <w:webHidden/>
              </w:rPr>
              <w:fldChar w:fldCharType="separate"/>
            </w:r>
            <w:r w:rsidRPr="00742AF7">
              <w:rPr>
                <w:rFonts w:asciiTheme="minorHAnsi" w:hAnsiTheme="minorHAnsi"/>
                <w:webHidden/>
              </w:rPr>
              <w:t>6</w:t>
            </w:r>
            <w:r w:rsidRPr="00742AF7">
              <w:rPr>
                <w:rFonts w:asciiTheme="minorHAnsi" w:hAnsiTheme="minorHAnsi"/>
                <w:webHidden/>
              </w:rPr>
              <w:fldChar w:fldCharType="end"/>
            </w:r>
          </w:hyperlink>
        </w:p>
        <w:p w14:paraId="5F2536B2" w14:textId="5B7FAAB8" w:rsidR="00742AF7" w:rsidRDefault="00742AF7">
          <w:r w:rsidRPr="00742AF7">
            <w:rPr>
              <w:b/>
              <w:bCs/>
              <w:noProof/>
            </w:rPr>
            <w:fldChar w:fldCharType="end"/>
          </w:r>
        </w:p>
      </w:sdtContent>
    </w:sdt>
    <w:p w14:paraId="35851343" w14:textId="1383BBD1" w:rsidR="002120E5" w:rsidRPr="00F17406" w:rsidRDefault="002120E5" w:rsidP="00A02B85">
      <w:pPr>
        <w:pStyle w:val="Heading1"/>
      </w:pPr>
      <w:bookmarkStart w:id="0" w:name="_Toc227241620"/>
      <w:r w:rsidRPr="00F17406">
        <w:lastRenderedPageBreak/>
        <w:t>5.</w:t>
      </w:r>
      <w:r w:rsidR="005135DD" w:rsidRPr="00F17406">
        <w:t>1</w:t>
      </w:r>
      <w:r w:rsidR="004C1F9F">
        <w:t xml:space="preserve"> </w:t>
      </w:r>
      <w:r w:rsidR="006B411D">
        <w:t>Returns and Refunds</w:t>
      </w:r>
      <w:bookmarkEnd w:id="0"/>
    </w:p>
    <w:p w14:paraId="5CD4158D" w14:textId="4549A1DF" w:rsidR="003F415A" w:rsidRPr="004A0FFB" w:rsidRDefault="000F00D3" w:rsidP="00B060AB">
      <w:pPr>
        <w:sectPr w:rsidR="003F415A" w:rsidRPr="004A0FFB" w:rsidSect="0010437C">
          <w:headerReference w:type="default" r:id="rId8"/>
          <w:footerReference w:type="default" r:id="rId9"/>
          <w:endnotePr>
            <w:numFmt w:val="decimal"/>
          </w:endnotePr>
          <w:type w:val="continuous"/>
          <w:pgSz w:w="12240" w:h="15840"/>
          <w:pgMar w:top="1440" w:right="1080" w:bottom="1440" w:left="1080" w:header="720" w:footer="720" w:gutter="0"/>
          <w:pgNumType w:chapStyle="1"/>
          <w:cols w:space="720"/>
          <w:docGrid w:linePitch="360"/>
        </w:sectPr>
      </w:pPr>
      <w:r>
        <w:t>I</w:t>
      </w:r>
      <w:r w:rsidR="002120E5" w:rsidRPr="004A0FFB">
        <w:t>f you</w:t>
      </w:r>
      <w:r>
        <w:t xml:space="preserve">r product </w:t>
      </w:r>
      <w:r w:rsidR="002120E5" w:rsidRPr="004A0FFB">
        <w:t xml:space="preserve">is defective </w:t>
      </w:r>
      <w:r w:rsidR="006B411D">
        <w:t xml:space="preserve">and you only recently bought it, the seller </w:t>
      </w:r>
      <w:r w:rsidR="002120E5" w:rsidRPr="004A0FFB">
        <w:t xml:space="preserve">should </w:t>
      </w:r>
      <w:r w:rsidR="00D23C21">
        <w:t xml:space="preserve">accept a </w:t>
      </w:r>
      <w:r w:rsidR="002120E5" w:rsidRPr="004A0FFB">
        <w:t xml:space="preserve">return </w:t>
      </w:r>
      <w:r w:rsidR="00D23C21">
        <w:t>and refund what you paid</w:t>
      </w:r>
      <w:r w:rsidR="002120E5" w:rsidRPr="004A0FFB">
        <w:t xml:space="preserve">, no questions asked. </w:t>
      </w:r>
      <w:r w:rsidR="00A06BED">
        <w:t xml:space="preserve">Although some businesses may publicize that they have a “no refund” policy, such a policy is not enforceable when it comes to defective products that violate a warranty. </w:t>
      </w:r>
    </w:p>
    <w:p w14:paraId="1AC17C5F" w14:textId="4D0871B4" w:rsidR="002120E5" w:rsidRPr="003E4242" w:rsidRDefault="002120E5" w:rsidP="00B060AB">
      <w:r w:rsidRPr="004A0FFB">
        <w:t>If you do not discover the defect until after you have used the product or service for some time, then you probably cannot just demand your money back. First, you should give the seller</w:t>
      </w:r>
      <w:r w:rsidR="003E4242">
        <w:t xml:space="preserve"> </w:t>
      </w:r>
      <w:r w:rsidRPr="004A0FFB">
        <w:t>a chance to replace the item or make repairs.</w:t>
      </w:r>
      <w:r w:rsidR="00AF734E" w:rsidRPr="004A0FFB">
        <w:t xml:space="preserve"> </w:t>
      </w:r>
      <w:r w:rsidR="003E4242">
        <w:t>I</w:t>
      </w:r>
      <w:r w:rsidRPr="00B1608B">
        <w:t xml:space="preserve">f the item is still within its “useful life” and you have not abused </w:t>
      </w:r>
      <w:r w:rsidR="00BD45B8" w:rsidRPr="00B1608B">
        <w:t xml:space="preserve">or misused </w:t>
      </w:r>
      <w:r w:rsidRPr="00B1608B">
        <w:t xml:space="preserve">it, then </w:t>
      </w:r>
      <w:r w:rsidR="006B6B42">
        <w:t xml:space="preserve">any inspection or </w:t>
      </w:r>
      <w:r w:rsidRPr="00B1608B">
        <w:t xml:space="preserve">repair should be </w:t>
      </w:r>
      <w:r w:rsidR="006B6B42">
        <w:t>done</w:t>
      </w:r>
      <w:r w:rsidR="006B6B42" w:rsidRPr="00B1608B">
        <w:t xml:space="preserve"> </w:t>
      </w:r>
      <w:r w:rsidRPr="00B1608B">
        <w:t>at no charge to you.</w:t>
      </w:r>
    </w:p>
    <w:p w14:paraId="56445888" w14:textId="2E2CD38A" w:rsidR="002120E5" w:rsidRPr="00F17406" w:rsidRDefault="002120E5" w:rsidP="00A02B85">
      <w:pPr>
        <w:pStyle w:val="Heading1"/>
      </w:pPr>
      <w:bookmarkStart w:id="1" w:name="_Toc227241621"/>
      <w:r w:rsidRPr="00F17406">
        <w:t>5.</w:t>
      </w:r>
      <w:r w:rsidR="005135DD" w:rsidRPr="00F17406">
        <w:t>2</w:t>
      </w:r>
      <w:r w:rsidR="004C1F9F">
        <w:t xml:space="preserve"> </w:t>
      </w:r>
      <w:r w:rsidRPr="00F17406">
        <w:t>Immediate Rejection of Defective Goods</w:t>
      </w:r>
      <w:bookmarkEnd w:id="1"/>
    </w:p>
    <w:p w14:paraId="17054335" w14:textId="5C7DF61C" w:rsidR="00E26EEC" w:rsidRPr="00195E2E" w:rsidRDefault="009D2BBB" w:rsidP="00B060AB">
      <w:r>
        <w:t>Maine law</w:t>
      </w:r>
      <w:r w:rsidR="002120E5" w:rsidRPr="00195E2E">
        <w:t xml:space="preserve"> gives you the right to reject </w:t>
      </w:r>
      <w:r w:rsidR="00EC734A">
        <w:t>good</w:t>
      </w:r>
      <w:r w:rsidR="0071032A">
        <w:t xml:space="preserve">s upon delivery if they fail </w:t>
      </w:r>
      <w:r w:rsidR="005F4E44">
        <w:t>“</w:t>
      </w:r>
      <w:r w:rsidR="002120E5" w:rsidRPr="00195E2E">
        <w:t>in any respect to conform to the contract.”</w:t>
      </w:r>
      <w:r w:rsidR="00E26EEC" w:rsidRPr="00195E2E">
        <w:rPr>
          <w:rStyle w:val="FootnoteReference"/>
        </w:rPr>
        <w:footnoteReference w:id="1"/>
      </w:r>
      <w:r w:rsidR="00E26EEC" w:rsidRPr="00195E2E">
        <w:t xml:space="preserve"> </w:t>
      </w:r>
      <w:r w:rsidR="00E26EEC">
        <w:t>I</w:t>
      </w:r>
      <w:r w:rsidR="00E26EEC" w:rsidRPr="00195E2E">
        <w:t xml:space="preserve">f </w:t>
      </w:r>
      <w:r w:rsidR="00E26EEC">
        <w:t>the</w:t>
      </w:r>
      <w:r w:rsidR="00E26EEC" w:rsidRPr="00195E2E">
        <w:t xml:space="preserve"> defect is minor, then the seller should be given a chance to </w:t>
      </w:r>
      <w:r w:rsidR="0050701E">
        <w:t>“</w:t>
      </w:r>
      <w:r w:rsidR="00E26EEC" w:rsidRPr="00195E2E">
        <w:t>cure” (e.g., repair) the defect at no charge to you.</w:t>
      </w:r>
      <w:r w:rsidR="00E26EEC" w:rsidRPr="00195E2E">
        <w:rPr>
          <w:rStyle w:val="FootnoteReference"/>
        </w:rPr>
        <w:footnoteReference w:id="2"/>
      </w:r>
      <w:r w:rsidR="00E26EEC" w:rsidRPr="00195E2E">
        <w:t xml:space="preserve"> </w:t>
      </w:r>
      <w:r w:rsidR="0059695E">
        <w:t xml:space="preserve">If the seller is providing a replacement, they </w:t>
      </w:r>
      <w:r w:rsidR="00E26EEC">
        <w:t xml:space="preserve">cannot require you to wait </w:t>
      </w:r>
      <w:r w:rsidR="00E26EEC" w:rsidRPr="00195E2E">
        <w:t xml:space="preserve">an unreasonable </w:t>
      </w:r>
      <w:r w:rsidR="00E26EEC">
        <w:t>amount</w:t>
      </w:r>
      <w:r w:rsidR="00E26EEC" w:rsidRPr="00195E2E">
        <w:t xml:space="preserve"> of time </w:t>
      </w:r>
      <w:r w:rsidR="00E26EEC">
        <w:t xml:space="preserve">to receive </w:t>
      </w:r>
      <w:r w:rsidR="00E26EEC" w:rsidRPr="00195E2E">
        <w:t>a replacement.</w:t>
      </w:r>
      <w:r w:rsidR="00E26EEC" w:rsidRPr="00195E2E">
        <w:rPr>
          <w:rStyle w:val="FootnoteReference"/>
        </w:rPr>
        <w:footnoteReference w:id="3"/>
      </w:r>
      <w:r w:rsidR="00E26EEC" w:rsidRPr="00195E2E">
        <w:t xml:space="preserve"> </w:t>
      </w:r>
    </w:p>
    <w:p w14:paraId="5EB5B066" w14:textId="59179FC1" w:rsidR="00E26EEC" w:rsidRPr="009E2280" w:rsidRDefault="00E26EEC" w:rsidP="00B060AB">
      <w:r w:rsidRPr="00B1608B">
        <w:t>I</w:t>
      </w:r>
      <w:r w:rsidRPr="00D04A6A">
        <w:t xml:space="preserve">f </w:t>
      </w:r>
      <w:r w:rsidRPr="009E2280">
        <w:t xml:space="preserve">your item is not defective, then whether you can return it </w:t>
      </w:r>
      <w:r>
        <w:t xml:space="preserve">for a refund </w:t>
      </w:r>
      <w:r w:rsidRPr="009E2280">
        <w:t>depends on the s</w:t>
      </w:r>
      <w:r>
        <w:t>eller’s</w:t>
      </w:r>
      <w:r w:rsidRPr="009E2280">
        <w:t xml:space="preserve"> return policy. If their policy is “no returns unless defective,” then you </w:t>
      </w:r>
      <w:r>
        <w:t>likely will not be able to return it for a refund</w:t>
      </w:r>
      <w:r w:rsidRPr="009E2280">
        <w:t xml:space="preserve">. </w:t>
      </w:r>
      <w:r>
        <w:t>Sellers</w:t>
      </w:r>
      <w:r w:rsidRPr="009E2280">
        <w:t xml:space="preserve"> are not </w:t>
      </w:r>
      <w:r>
        <w:t>required</w:t>
      </w:r>
      <w:r w:rsidRPr="009E2280">
        <w:t xml:space="preserve"> to give cash refunds </w:t>
      </w:r>
      <w:r>
        <w:t xml:space="preserve">for goods that are not defective, unless it is their policy to do that. </w:t>
      </w:r>
    </w:p>
    <w:p w14:paraId="5C4AC38F" w14:textId="7A5893BD" w:rsidR="00E26EEC" w:rsidRPr="00195E2E" w:rsidRDefault="00E26EEC" w:rsidP="00A02B85">
      <w:pPr>
        <w:pStyle w:val="Heading1"/>
      </w:pPr>
      <w:bookmarkStart w:id="2" w:name="_Toc227241622"/>
      <w:r w:rsidRPr="00195E2E">
        <w:t>5.3</w:t>
      </w:r>
      <w:r>
        <w:t xml:space="preserve"> </w:t>
      </w:r>
      <w:r w:rsidRPr="00195E2E">
        <w:t>How to Reject Defective Goods</w:t>
      </w:r>
      <w:bookmarkEnd w:id="2"/>
    </w:p>
    <w:p w14:paraId="636FFBB2" w14:textId="7BA2144D" w:rsidR="00E26EEC" w:rsidRPr="00040046" w:rsidRDefault="00E26EEC" w:rsidP="00B1608B">
      <w:r>
        <w:t>To reject a defective good, you must n</w:t>
      </w:r>
      <w:r w:rsidRPr="00040046">
        <w:t xml:space="preserve">otify the seller of your rejection. The notice should be in writing and should state the reasons </w:t>
      </w:r>
      <w:r>
        <w:t>why you are rejecting the good</w:t>
      </w:r>
      <w:r w:rsidRPr="00040046">
        <w:t xml:space="preserve">. </w:t>
      </w:r>
      <w:r>
        <w:t xml:space="preserve">Be sure to clearly state why the good is defective. </w:t>
      </w:r>
      <w:r w:rsidRPr="00040046">
        <w:t>You should mail the notice to the seller’s place of business and keep a copy for yourself.</w:t>
      </w:r>
      <w:r>
        <w:t xml:space="preserve"> The notice should be sent as soon as possible, and always </w:t>
      </w:r>
      <w:r w:rsidRPr="00040046">
        <w:t xml:space="preserve">within a reasonable time after the good </w:t>
      </w:r>
      <w:proofErr w:type="gramStart"/>
      <w:r>
        <w:t>was</w:t>
      </w:r>
      <w:proofErr w:type="gramEnd"/>
      <w:r w:rsidRPr="00040046">
        <w:t xml:space="preserve"> delivered.</w:t>
      </w:r>
      <w:r>
        <w:rPr>
          <w:rStyle w:val="FootnoteReference"/>
        </w:rPr>
        <w:footnoteReference w:id="4"/>
      </w:r>
      <w:r w:rsidR="00D23D59">
        <w:t xml:space="preserve"> </w:t>
      </w:r>
      <w:r w:rsidRPr="00040046">
        <w:t xml:space="preserve">If you </w:t>
      </w:r>
      <w:r>
        <w:t xml:space="preserve">bought the good at a store and </w:t>
      </w:r>
      <w:r w:rsidRPr="00040046">
        <w:t xml:space="preserve">do not notice the defect until after you have </w:t>
      </w:r>
      <w:r>
        <w:t>inspected it at home</w:t>
      </w:r>
      <w:r w:rsidRPr="00040046">
        <w:t xml:space="preserve">, notify the seller immediately and </w:t>
      </w:r>
      <w:r>
        <w:t>do</w:t>
      </w:r>
      <w:r w:rsidRPr="00040046">
        <w:t xml:space="preserve"> not use the good. You </w:t>
      </w:r>
      <w:r>
        <w:t xml:space="preserve">are required to </w:t>
      </w:r>
      <w:r w:rsidRPr="00040046">
        <w:t xml:space="preserve">hold the </w:t>
      </w:r>
      <w:proofErr w:type="gramStart"/>
      <w:r w:rsidRPr="00040046">
        <w:t>good</w:t>
      </w:r>
      <w:proofErr w:type="gramEnd"/>
      <w:r w:rsidRPr="00040046">
        <w:t xml:space="preserve"> with reasonable care and permit the seller to remove them</w:t>
      </w:r>
      <w:r>
        <w:t>.</w:t>
      </w:r>
    </w:p>
    <w:p w14:paraId="5A17BF05" w14:textId="1BD9D7E2" w:rsidR="00E26EEC" w:rsidRDefault="00E26EEC" w:rsidP="00B060AB">
      <w:r w:rsidRPr="00040046">
        <w:lastRenderedPageBreak/>
        <w:t xml:space="preserve">The </w:t>
      </w:r>
      <w:r>
        <w:t>rule regarding rejection</w:t>
      </w:r>
      <w:r w:rsidRPr="00040046">
        <w:t xml:space="preserve"> applies if the seller does</w:t>
      </w:r>
      <w:r>
        <w:t xml:space="preserve"> not deliver the </w:t>
      </w:r>
      <w:proofErr w:type="gramStart"/>
      <w:r>
        <w:t>good</w:t>
      </w:r>
      <w:proofErr w:type="gramEnd"/>
      <w:r>
        <w:t xml:space="preserve"> on time</w:t>
      </w:r>
      <w:r w:rsidRPr="00040046">
        <w:t>. For example, if you order</w:t>
      </w:r>
      <w:r>
        <w:t xml:space="preserve"> an item</w:t>
      </w:r>
      <w:r w:rsidRPr="00040046">
        <w:t xml:space="preserve"> for delivery on June 1, and it </w:t>
      </w:r>
      <w:r>
        <w:t>is not available by that date</w:t>
      </w:r>
      <w:r w:rsidRPr="00040046">
        <w:t xml:space="preserve">, you may reject </w:t>
      </w:r>
      <w:r>
        <w:t>it</w:t>
      </w:r>
      <w:r w:rsidRPr="00040046">
        <w:t xml:space="preserve"> and the seller must refund </w:t>
      </w:r>
      <w:r>
        <w:t xml:space="preserve">any payment. </w:t>
      </w:r>
    </w:p>
    <w:p w14:paraId="41288FF4" w14:textId="0F3BCA07" w:rsidR="00E26EEC" w:rsidRPr="00536324" w:rsidRDefault="00E26EEC" w:rsidP="00A02B85">
      <w:pPr>
        <w:pStyle w:val="Heading1"/>
      </w:pPr>
      <w:bookmarkStart w:id="3" w:name="_Toc227241623"/>
      <w:r w:rsidRPr="00536324">
        <w:t>5.4</w:t>
      </w:r>
      <w:r>
        <w:t xml:space="preserve"> </w:t>
      </w:r>
      <w:r w:rsidRPr="00536324">
        <w:t>Layaway Sales</w:t>
      </w:r>
      <w:bookmarkEnd w:id="3"/>
    </w:p>
    <w:p w14:paraId="389FD446" w14:textId="51E7A07C" w:rsidR="00E26EEC" w:rsidRPr="00AF734E" w:rsidRDefault="00E26EEC" w:rsidP="00B060AB">
      <w:r>
        <w:t>You can also reject a defective good purchased on</w:t>
      </w:r>
      <w:r w:rsidRPr="00040046">
        <w:t xml:space="preserve"> layaway</w:t>
      </w:r>
      <w:r>
        <w:t xml:space="preserve"> that you have yet to receive. If you purchase a good</w:t>
      </w:r>
      <w:r w:rsidRPr="00040046">
        <w:t xml:space="preserve"> on </w:t>
      </w:r>
      <w:r w:rsidRPr="00AF734E">
        <w:t xml:space="preserve">layaway </w:t>
      </w:r>
      <w:r>
        <w:t xml:space="preserve">but </w:t>
      </w:r>
      <w:r w:rsidRPr="00AF734E">
        <w:t xml:space="preserve">find out that the </w:t>
      </w:r>
      <w:r>
        <w:t>good is defective while you are still making installment payments, you can make the same rejection and demand. However, for layaway sales, the seller has the entire time remaining on layaway to cure the defect</w:t>
      </w:r>
      <w:r w:rsidRPr="00AF734E">
        <w:t>.</w:t>
      </w:r>
      <w:r>
        <w:rPr>
          <w:rStyle w:val="FootnoteReference"/>
        </w:rPr>
        <w:footnoteReference w:id="5"/>
      </w:r>
      <w:r w:rsidRPr="00AF734E">
        <w:t xml:space="preserve"> </w:t>
      </w:r>
    </w:p>
    <w:p w14:paraId="3802EA8D" w14:textId="0C963A6D" w:rsidR="00E26EEC" w:rsidRPr="00AF734E" w:rsidRDefault="00E26EEC" w:rsidP="00B1608B">
      <w:r w:rsidRPr="00AF734E">
        <w:t>I</w:t>
      </w:r>
      <w:r>
        <w:t>f you are i</w:t>
      </w:r>
      <w:r w:rsidRPr="00AF734E">
        <w:t xml:space="preserve">n this situation, you </w:t>
      </w:r>
      <w:r>
        <w:t xml:space="preserve">may have the right to stop making </w:t>
      </w:r>
      <w:r w:rsidRPr="00AF734E">
        <w:t>installment payments until</w:t>
      </w:r>
      <w:r w:rsidR="004E08D0">
        <w:t xml:space="preserve"> </w:t>
      </w:r>
      <w:r>
        <w:t>the seller confirms that</w:t>
      </w:r>
      <w:r w:rsidRPr="00AF734E">
        <w:t xml:space="preserve"> </w:t>
      </w:r>
      <w:r>
        <w:t>the defect is cured</w:t>
      </w:r>
      <w:r w:rsidRPr="00AF734E">
        <w:t>. Before suspending payments</w:t>
      </w:r>
      <w:r w:rsidR="00A77A4D">
        <w:t xml:space="preserve">, </w:t>
      </w:r>
      <w:r>
        <w:t xml:space="preserve">you should consult with an attorney. If you do not comply with the requirements regarding rejection, you may be in breach of contract. </w:t>
      </w:r>
    </w:p>
    <w:p w14:paraId="62A99727" w14:textId="2CD6CFE0" w:rsidR="00E26EEC" w:rsidRPr="00A02B85" w:rsidRDefault="00E26EEC" w:rsidP="00A02B85">
      <w:pPr>
        <w:pStyle w:val="Heading1"/>
      </w:pPr>
      <w:bookmarkStart w:id="4" w:name="_Toc227241624"/>
      <w:r w:rsidRPr="00A02B85">
        <w:t>5.5</w:t>
      </w:r>
      <w:r>
        <w:t xml:space="preserve"> </w:t>
      </w:r>
      <w:r w:rsidRPr="00A02B85">
        <w:t xml:space="preserve">When the Defect </w:t>
      </w:r>
      <w:r w:rsidR="00A77A4D">
        <w:t>I</w:t>
      </w:r>
      <w:r w:rsidRPr="00A02B85">
        <w:t xml:space="preserve">s </w:t>
      </w:r>
      <w:r w:rsidR="00A77A4D">
        <w:t>N</w:t>
      </w:r>
      <w:r w:rsidRPr="00A02B85">
        <w:t>ot Immediately Discovered</w:t>
      </w:r>
      <w:bookmarkEnd w:id="4"/>
    </w:p>
    <w:p w14:paraId="2FCBFD0B" w14:textId="3CF91FEE" w:rsidR="00E26EEC" w:rsidRPr="00040046" w:rsidRDefault="00E26EEC" w:rsidP="00B060AB">
      <w:r w:rsidRPr="00040046">
        <w:t xml:space="preserve">If you do not immediately discover the defect, </w:t>
      </w:r>
      <w:r>
        <w:t>you likely will not be able to reject the good</w:t>
      </w:r>
      <w:r w:rsidRPr="00040046">
        <w:t>.</w:t>
      </w:r>
      <w:r>
        <w:t xml:space="preserve"> But</w:t>
      </w:r>
      <w:r w:rsidRPr="00040046">
        <w:t xml:space="preserve"> you </w:t>
      </w:r>
      <w:r>
        <w:t>still have warranty rights and other options to get relief.</w:t>
      </w:r>
    </w:p>
    <w:p w14:paraId="137193A9" w14:textId="6E14B970" w:rsidR="00E26EEC" w:rsidRDefault="00E26EEC" w:rsidP="00BD6EF8">
      <w:r>
        <w:t xml:space="preserve">As discussed in </w:t>
      </w:r>
      <w:hyperlink r:id="rId10" w:history="1">
        <w:r w:rsidR="00105394" w:rsidRPr="00A80510">
          <w:rPr>
            <w:rStyle w:val="Hyperlink"/>
          </w:rPr>
          <w:t>our warranties guide</w:t>
        </w:r>
      </w:hyperlink>
      <w:r w:rsidR="00A80510">
        <w:t xml:space="preserve"> (</w:t>
      </w:r>
      <w:hyperlink r:id="rId11" w:history="1">
        <w:r w:rsidR="00A80510" w:rsidRPr="005D1CEF">
          <w:rPr>
            <w:rStyle w:val="Hyperlink"/>
          </w:rPr>
          <w:t>https://maine.gov/ag/consumer-protection/consumer-help-topics/purchasing-goods-or-services/warranties</w:t>
        </w:r>
      </w:hyperlink>
      <w:r w:rsidR="00A80510">
        <w:t>)</w:t>
      </w:r>
      <w:r>
        <w:t xml:space="preserve">, </w:t>
      </w:r>
      <w:r w:rsidRPr="00040046">
        <w:t xml:space="preserve">Maine law </w:t>
      </w:r>
      <w:r>
        <w:t>automatically provides an implied warranty of merchantability in addition to any express warranty for any good</w:t>
      </w:r>
      <w:r w:rsidRPr="00040046">
        <w:t xml:space="preserve"> sold by a merchant.</w:t>
      </w:r>
      <w:r>
        <w:rPr>
          <w:rStyle w:val="FootnoteReference"/>
        </w:rPr>
        <w:footnoteReference w:id="6"/>
      </w:r>
      <w:r w:rsidRPr="00040046">
        <w:t xml:space="preserve"> </w:t>
      </w:r>
      <w:r>
        <w:t>T</w:t>
      </w:r>
      <w:r w:rsidRPr="00040046">
        <w:t xml:space="preserve">his implied warranty guarantees that an item will perform as it was designed to: a washing machine will wash, a </w:t>
      </w:r>
      <w:r>
        <w:t>refrigerate will refrigerate</w:t>
      </w:r>
      <w:r w:rsidRPr="00040046">
        <w:t>.</w:t>
      </w:r>
      <w:r>
        <w:t xml:space="preserve"> For consumer goods other than used cars, this implied warranty cannot be denied or modified, and a consumer cannot be required to pay any charge for service, inspection, or repair covered by the implied warranty</w:t>
      </w:r>
      <w:r w:rsidRPr="00040046">
        <w:t>.</w:t>
      </w:r>
      <w:r w:rsidRPr="00E642A8">
        <w:rPr>
          <w:rStyle w:val="FootnoteReference"/>
        </w:rPr>
        <w:t xml:space="preserve"> </w:t>
      </w:r>
      <w:r>
        <w:t>If a defect substantially impairs the value of a good—and defects that violate the implied warranty of merchantability will likely meet this requirement—and the good cannot or has not been repaired despite your demand to the manufacturer or seller, you may have the right to revoke your acceptance of the good and receive a refund</w:t>
      </w:r>
      <w:r w:rsidR="004E08D0">
        <w:t xml:space="preserve"> </w:t>
      </w:r>
      <w:r>
        <w:t>a replacement item or a refund</w:t>
      </w:r>
      <w:r w:rsidRPr="00040046">
        <w:t>.</w:t>
      </w:r>
      <w:r>
        <w:t xml:space="preserve"> . Such a revocation must be made within a reasonable time of discovering the defect and you must be able to return the item in a condition that is not substantially different from when you received it.</w:t>
      </w:r>
      <w:r w:rsidR="004E08D0">
        <w:t xml:space="preserve"> </w:t>
      </w:r>
    </w:p>
    <w:p w14:paraId="1EA8DF11" w14:textId="2F7FF907" w:rsidR="00E26EEC" w:rsidRPr="00040046" w:rsidRDefault="00E26EEC" w:rsidP="00A02B85">
      <w:pPr>
        <w:pStyle w:val="Heading1"/>
      </w:pPr>
      <w:bookmarkStart w:id="5" w:name="_Toc227241625"/>
      <w:r>
        <w:t>5.6 Damages</w:t>
      </w:r>
      <w:bookmarkEnd w:id="5"/>
    </w:p>
    <w:p w14:paraId="68CF2796" w14:textId="0EA95890" w:rsidR="00E26EEC" w:rsidRDefault="00E26EEC" w:rsidP="00B060AB">
      <w:r w:rsidRPr="00040046">
        <w:t xml:space="preserve">If the item (new or used) cannot be repaired, but you </w:t>
      </w:r>
      <w:r>
        <w:t>want to keep the item or it doesn’t otherwise meet the requirements for revoking acceptance</w:t>
      </w:r>
      <w:r w:rsidRPr="00040046">
        <w:t xml:space="preserve">, you </w:t>
      </w:r>
      <w:r>
        <w:t>may be entitled to</w:t>
      </w:r>
      <w:r w:rsidRPr="00040046">
        <w:t xml:space="preserve"> damages</w:t>
      </w:r>
      <w:r>
        <w:t xml:space="preserve">, or </w:t>
      </w:r>
      <w:r>
        <w:lastRenderedPageBreak/>
        <w:t>compensation for your financial loss</w:t>
      </w:r>
      <w:r w:rsidRPr="00040046">
        <w:t>. The basic measure of damages for breach of warranty is the difference between the value of goods accepted and the value the goods would have had if they had been delivered in good condition.</w:t>
      </w:r>
      <w:r>
        <w:rPr>
          <w:rStyle w:val="FootnoteReference"/>
        </w:rPr>
        <w:footnoteReference w:id="7"/>
      </w:r>
      <w:r>
        <w:t xml:space="preserve"> </w:t>
      </w:r>
      <w:r w:rsidRPr="00040046">
        <w:t>In addition, you may also be eligible for incidental damages</w:t>
      </w:r>
      <w:r>
        <w:rPr>
          <w:rStyle w:val="FootnoteReference"/>
        </w:rPr>
        <w:footnoteReference w:id="8"/>
      </w:r>
      <w:r>
        <w:t xml:space="preserve"> </w:t>
      </w:r>
      <w:r w:rsidRPr="00040046">
        <w:t>and consequential damages.</w:t>
      </w:r>
      <w:r>
        <w:rPr>
          <w:rStyle w:val="FootnoteReference"/>
        </w:rPr>
        <w:footnoteReference w:id="9"/>
      </w:r>
      <w:r>
        <w:t xml:space="preserve"> Maine law</w:t>
      </w:r>
      <w:r w:rsidRPr="00040046">
        <w:t xml:space="preserve"> also allows a buyer to notify the seller that the contract has been breached and that the consumer is deducting reasonable damages (“setoff”) from payments still owed.</w:t>
      </w:r>
      <w:r>
        <w:t xml:space="preserve"> Before stopping or reducing any payments, you should consult with an attorney. C</w:t>
      </w:r>
      <w:r w:rsidRPr="00040046">
        <w:t xml:space="preserve">onsumers injured by a seller’s or manufacturer’s negligence should </w:t>
      </w:r>
      <w:r>
        <w:t xml:space="preserve">also </w:t>
      </w:r>
      <w:r w:rsidRPr="00040046">
        <w:t xml:space="preserve">take reasonable steps to mitigate (lessen) their damages. </w:t>
      </w:r>
    </w:p>
    <w:p w14:paraId="6E2E8A0B" w14:textId="11B73C1F" w:rsidR="00E26EEC" w:rsidRPr="00040046" w:rsidRDefault="00E26EEC" w:rsidP="00A02B85">
      <w:pPr>
        <w:pStyle w:val="Heading1"/>
      </w:pPr>
      <w:bookmarkStart w:id="6" w:name="_Toc227241626"/>
      <w:r>
        <w:t>5.7 Unfair Trade Practices</w:t>
      </w:r>
      <w:bookmarkEnd w:id="6"/>
    </w:p>
    <w:p w14:paraId="0A72BF10" w14:textId="07AB021E" w:rsidR="00E26EEC" w:rsidRDefault="00E26EEC" w:rsidP="00B060AB">
      <w:r w:rsidRPr="00040046">
        <w:t xml:space="preserve">If you have purchased a seriously defective item and the seller refuses to honor your express or implied warranty rights, the refusal may also violate the </w:t>
      </w:r>
      <w:r>
        <w:t xml:space="preserve">Maine </w:t>
      </w:r>
      <w:r w:rsidRPr="00040046">
        <w:t>Unfair Trade Practices Act</w:t>
      </w:r>
      <w:r>
        <w:t xml:space="preserve"> </w:t>
      </w:r>
      <w:r w:rsidRPr="00040046">
        <w:t>and you</w:t>
      </w:r>
      <w:r>
        <w:t xml:space="preserve"> may be able to</w:t>
      </w:r>
      <w:r w:rsidRPr="00040046">
        <w:t xml:space="preserve"> sue for damages or restitution</w:t>
      </w:r>
      <w:r>
        <w:t>, plus your attorneys’</w:t>
      </w:r>
      <w:r w:rsidRPr="00040046">
        <w:t xml:space="preserve"> fees.</w:t>
      </w:r>
      <w:r>
        <w:rPr>
          <w:rStyle w:val="FootnoteReference"/>
        </w:rPr>
        <w:footnoteReference w:id="10"/>
      </w:r>
      <w:r>
        <w:t xml:space="preserve"> More information about claims </w:t>
      </w:r>
      <w:r w:rsidR="00843B5A">
        <w:t xml:space="preserve">under this law can be found in our </w:t>
      </w:r>
      <w:hyperlink r:id="rId12" w:history="1">
        <w:r w:rsidRPr="00843B5A">
          <w:rPr>
            <w:rStyle w:val="Hyperlink"/>
          </w:rPr>
          <w:t xml:space="preserve">Maine Unfair Trade Practices Act </w:t>
        </w:r>
        <w:r w:rsidR="00843B5A" w:rsidRPr="00843B5A">
          <w:rPr>
            <w:rStyle w:val="Hyperlink"/>
          </w:rPr>
          <w:t>guide</w:t>
        </w:r>
      </w:hyperlink>
      <w:r w:rsidR="00843B5A">
        <w:t xml:space="preserve"> </w:t>
      </w:r>
      <w:r w:rsidR="00270149">
        <w:t>(</w:t>
      </w:r>
      <w:hyperlink r:id="rId13" w:history="1">
        <w:r w:rsidR="00843B5A" w:rsidRPr="005D1CEF">
          <w:rPr>
            <w:rStyle w:val="Hyperlink"/>
          </w:rPr>
          <w:t>https:/</w:t>
        </w:r>
        <w:r w:rsidR="00843B5A" w:rsidRPr="005D1CEF">
          <w:rPr>
            <w:rStyle w:val="Hyperlink"/>
          </w:rPr>
          <w:t>/</w:t>
        </w:r>
        <w:r w:rsidR="00843B5A" w:rsidRPr="005D1CEF">
          <w:rPr>
            <w:rStyle w:val="Hyperlink"/>
          </w:rPr>
          <w:t>maine.gov/ag/consumer-protection/consumer-help-topics/purchasing-goods-and-services/maine-unfair-trade-practices</w:t>
        </w:r>
      </w:hyperlink>
      <w:r w:rsidR="00843B5A">
        <w:t>)</w:t>
      </w:r>
      <w:r w:rsidRPr="00040046">
        <w:t>.</w:t>
      </w:r>
    </w:p>
    <w:p w14:paraId="723D24CA" w14:textId="302F2DBD" w:rsidR="00E26EEC" w:rsidRPr="00040046" w:rsidRDefault="00E26EEC" w:rsidP="00A02B85">
      <w:pPr>
        <w:pStyle w:val="Heading1"/>
      </w:pPr>
      <w:bookmarkStart w:id="7" w:name="_Toc227241627"/>
      <w:r>
        <w:t>5.8 Statute of Limitations</w:t>
      </w:r>
      <w:bookmarkEnd w:id="7"/>
    </w:p>
    <w:p w14:paraId="78C42DBF" w14:textId="71C518A0" w:rsidR="00E26EEC" w:rsidRPr="00040046" w:rsidRDefault="00E26EEC" w:rsidP="00B060AB">
      <w:r>
        <w:t xml:space="preserve">In most cases, you have 4 years from the delivery of your item to file a lawsuit based on implied warranty claims. For express warranty claims, the </w:t>
      </w:r>
      <w:proofErr w:type="gramStart"/>
      <w:r>
        <w:t>time period</w:t>
      </w:r>
      <w:proofErr w:type="gramEnd"/>
      <w:r>
        <w:t xml:space="preserve"> may be longer or shorter, depending on the terms of the express warranty. Generally, claims under the Maine Unfair Trade Practices Act must be brought within 6 years of the accrual of the claim.</w:t>
      </w:r>
    </w:p>
    <w:p w14:paraId="7337B84A" w14:textId="2BA79B18" w:rsidR="00E26EEC" w:rsidRPr="00040046" w:rsidRDefault="00E26EEC" w:rsidP="00A02B85">
      <w:pPr>
        <w:pStyle w:val="Heading1"/>
      </w:pPr>
      <w:bookmarkStart w:id="8" w:name="_Toc227241628"/>
      <w:r>
        <w:t>5.10 Return of Deposits</w:t>
      </w:r>
      <w:bookmarkEnd w:id="8"/>
    </w:p>
    <w:p w14:paraId="3BA5F455" w14:textId="4D62D739" w:rsidR="00E26EEC" w:rsidRPr="00040046" w:rsidRDefault="00E26EEC" w:rsidP="00B060AB">
      <w:r>
        <w:t>Many</w:t>
      </w:r>
      <w:r w:rsidRPr="00040046">
        <w:t xml:space="preserve"> </w:t>
      </w:r>
      <w:proofErr w:type="gramStart"/>
      <w:r w:rsidRPr="00040046">
        <w:t>seller</w:t>
      </w:r>
      <w:proofErr w:type="gramEnd"/>
      <w:r w:rsidRPr="00040046">
        <w:t xml:space="preserve"> </w:t>
      </w:r>
      <w:r>
        <w:t>may</w:t>
      </w:r>
      <w:r w:rsidRPr="00040046">
        <w:t xml:space="preserve"> ask for a deposit or partial payment in advance</w:t>
      </w:r>
      <w:r>
        <w:t>, particularly if the item is expensive</w:t>
      </w:r>
      <w:r w:rsidRPr="00040046">
        <w:t xml:space="preserve">. Never make a deposit unless you are sure you want the merchandise and can afford it. If you cancel the sale, you </w:t>
      </w:r>
      <w:r>
        <w:t xml:space="preserve">may </w:t>
      </w:r>
      <w:r w:rsidRPr="00040046">
        <w:t xml:space="preserve">lose a portion </w:t>
      </w:r>
      <w:r>
        <w:t xml:space="preserve">or </w:t>
      </w:r>
      <w:proofErr w:type="gramStart"/>
      <w:r>
        <w:t xml:space="preserve">all </w:t>
      </w:r>
      <w:r w:rsidRPr="00040046">
        <w:t>of</w:t>
      </w:r>
      <w:proofErr w:type="gramEnd"/>
      <w:r w:rsidRPr="00040046">
        <w:t xml:space="preserve"> your deposit.</w:t>
      </w:r>
    </w:p>
    <w:p w14:paraId="689B27AF" w14:textId="636B47E6" w:rsidR="00E26EEC" w:rsidRPr="00040046" w:rsidRDefault="00E26EEC" w:rsidP="00B060AB">
      <w:r w:rsidRPr="00040046">
        <w:t xml:space="preserve">The right to recover your deposit or layaway payments depends on your agreement with the seller (your contract) and </w:t>
      </w:r>
      <w:r>
        <w:t>who is breaking the agreement</w:t>
      </w:r>
      <w:r w:rsidRPr="00040046">
        <w:t xml:space="preserve">. If you </w:t>
      </w:r>
      <w:proofErr w:type="gramStart"/>
      <w:r>
        <w:t>are canceling</w:t>
      </w:r>
      <w:proofErr w:type="gramEnd"/>
      <w:r>
        <w:t xml:space="preserve"> the agreement and </w:t>
      </w:r>
      <w:r w:rsidRPr="00040046">
        <w:t xml:space="preserve">have </w:t>
      </w:r>
      <w:r w:rsidRPr="00040046">
        <w:lastRenderedPageBreak/>
        <w:t xml:space="preserve">not accepted delivery of the goods (or the merchant has taken the goods back), then Maine </w:t>
      </w:r>
      <w:r>
        <w:t>law</w:t>
      </w:r>
      <w:r>
        <w:rPr>
          <w:rStyle w:val="FootnoteReference"/>
        </w:rPr>
        <w:footnoteReference w:id="11"/>
      </w:r>
      <w:r>
        <w:t xml:space="preserve"> </w:t>
      </w:r>
      <w:r w:rsidRPr="00040046">
        <w:t xml:space="preserve">allows you to recover only so much of your deposit or layaway payments that </w:t>
      </w:r>
      <w:proofErr w:type="gramStart"/>
      <w:r w:rsidRPr="00040046">
        <w:t>exceeds</w:t>
      </w:r>
      <w:proofErr w:type="gramEnd"/>
      <w:r w:rsidRPr="00040046">
        <w:t>:</w:t>
      </w:r>
    </w:p>
    <w:p w14:paraId="234E575E" w14:textId="25B22430" w:rsidR="00E26EEC" w:rsidRPr="00040046" w:rsidRDefault="00E26EEC" w:rsidP="00B060AB">
      <w:pPr>
        <w:pStyle w:val="ListParagraph"/>
        <w:numPr>
          <w:ilvl w:val="0"/>
          <w:numId w:val="23"/>
        </w:numPr>
      </w:pPr>
      <w:r>
        <w:t>Any</w:t>
      </w:r>
      <w:r w:rsidRPr="00040046">
        <w:t xml:space="preserve"> reasonable “liquidated damages” clause in your contract, or </w:t>
      </w:r>
    </w:p>
    <w:p w14:paraId="0F7A6F1E" w14:textId="70262DA5" w:rsidR="00E26EEC" w:rsidRPr="00040046" w:rsidRDefault="00E26EEC" w:rsidP="00B060AB">
      <w:pPr>
        <w:pStyle w:val="ListParagraph"/>
        <w:numPr>
          <w:ilvl w:val="0"/>
          <w:numId w:val="23"/>
        </w:numPr>
      </w:pPr>
      <w:r w:rsidRPr="00040046">
        <w:t>If there is no such damages clause, 20% of the total contract price or $500, whichever is smaller.</w:t>
      </w:r>
    </w:p>
    <w:p w14:paraId="67058DB0" w14:textId="754DFC7D" w:rsidR="00E26EEC" w:rsidRPr="00040046" w:rsidRDefault="00E26EEC" w:rsidP="00B060AB">
      <w:r w:rsidRPr="00040046">
        <w:t xml:space="preserve">A liquidated damage clause </w:t>
      </w:r>
      <w:r>
        <w:t xml:space="preserve">is a contract provision that by which the parties agree on an amount of damages in the event of a </w:t>
      </w:r>
      <w:proofErr w:type="gramStart"/>
      <w:r>
        <w:t>breach, and</w:t>
      </w:r>
      <w:proofErr w:type="gramEnd"/>
      <w:r>
        <w:t xml:space="preserve"> will often provide </w:t>
      </w:r>
      <w:r w:rsidRPr="00040046">
        <w:t>for forfeiture of the buyer’s deposit. However, courts will not enforce these clauses unless they reasonably reflect the seller’s actual damages.</w:t>
      </w:r>
      <w:r w:rsidR="00814C50">
        <w:t xml:space="preserve"> </w:t>
      </w:r>
      <w:r>
        <w:t>T</w:t>
      </w:r>
      <w:r w:rsidRPr="00040046">
        <w:t>hese</w:t>
      </w:r>
      <w:r w:rsidR="004E08D0">
        <w:t xml:space="preserve"> </w:t>
      </w:r>
      <w:r w:rsidRPr="00040046">
        <w:t xml:space="preserve">clauses are </w:t>
      </w:r>
      <w:r>
        <w:t xml:space="preserve">commonly </w:t>
      </w:r>
      <w:r w:rsidRPr="00040046">
        <w:t>found in form contracts</w:t>
      </w:r>
      <w:r>
        <w:t xml:space="preserve"> offered to consumers on </w:t>
      </w:r>
      <w:r w:rsidRPr="00040046">
        <w:t xml:space="preserve">a “take it or leave it” basis. </w:t>
      </w:r>
      <w:r>
        <w:t>If that is the case, the clauses may not be enforceable.</w:t>
      </w:r>
    </w:p>
    <w:p w14:paraId="5B199731" w14:textId="04D5BFF0" w:rsidR="00E26EEC" w:rsidRDefault="00E26EEC" w:rsidP="00B060AB">
      <w:r w:rsidRPr="00040046">
        <w:t>For example, assume that you purchase a $300 chair on layaway and make payments of $75. However, you are unable to complete the purchase and request a refund. Your contract did not have a liquidated damages clause. Under</w:t>
      </w:r>
      <w:r>
        <w:t xml:space="preserve"> Maine law</w:t>
      </w:r>
      <w:r w:rsidRPr="00040046">
        <w:t>, the seller can keep $60 of the deposit ($300 x 20%) and must return the $</w:t>
      </w:r>
      <w:r>
        <w:t>1</w:t>
      </w:r>
      <w:r w:rsidRPr="00040046">
        <w:t>5 balance. Similarly, if you order a new car for $l0, 000 and place a $750 deposit but decide to cancel the order, the dealer can keep $500.</w:t>
      </w:r>
      <w:r>
        <w:t xml:space="preserve"> </w:t>
      </w:r>
    </w:p>
    <w:p w14:paraId="19777B7A" w14:textId="502B0153" w:rsidR="00E26EEC" w:rsidRPr="00040046" w:rsidRDefault="00E26EEC" w:rsidP="00A02B85">
      <w:pPr>
        <w:pStyle w:val="Heading1"/>
      </w:pPr>
      <w:bookmarkStart w:id="9" w:name="_Toc227241629"/>
      <w:r>
        <w:t>5.11 Deposits on Contracts for Services</w:t>
      </w:r>
      <w:bookmarkEnd w:id="9"/>
      <w:r>
        <w:t xml:space="preserve"> </w:t>
      </w:r>
    </w:p>
    <w:p w14:paraId="05B29CFC" w14:textId="2714D4CA" w:rsidR="00E26EEC" w:rsidRPr="00040046" w:rsidRDefault="00E26EEC" w:rsidP="00B060AB">
      <w:r w:rsidRPr="00040046">
        <w:t xml:space="preserve">The law governing </w:t>
      </w:r>
      <w:r>
        <w:t xml:space="preserve">the </w:t>
      </w:r>
      <w:r w:rsidRPr="00040046">
        <w:t>return of deposits on contracts for services is much the same as for goods, with two major differences.</w:t>
      </w:r>
    </w:p>
    <w:p w14:paraId="303D341C" w14:textId="0A6944B2" w:rsidR="00E26EEC" w:rsidRPr="0069014A" w:rsidRDefault="00E26EEC" w:rsidP="00B060AB">
      <w:pPr>
        <w:pStyle w:val="Heading2"/>
      </w:pPr>
      <w:bookmarkStart w:id="10" w:name="_Toc227241630"/>
      <w:r w:rsidRPr="0069014A">
        <w:t>Substantial Breach</w:t>
      </w:r>
      <w:bookmarkEnd w:id="10"/>
    </w:p>
    <w:p w14:paraId="3704D15E" w14:textId="17219568" w:rsidR="00E26EEC" w:rsidRPr="00040046" w:rsidRDefault="00E26EEC" w:rsidP="00B060AB">
      <w:proofErr w:type="gramStart"/>
      <w:r w:rsidRPr="00040046">
        <w:t>In order to</w:t>
      </w:r>
      <w:proofErr w:type="gramEnd"/>
      <w:r w:rsidRPr="00040046">
        <w:t xml:space="preserve"> cancel the contract and recover your deposit</w:t>
      </w:r>
      <w:r>
        <w:t>,</w:t>
      </w:r>
      <w:r w:rsidRPr="00040046">
        <w:t xml:space="preserve"> you must show that the seller’s breach is substantial. For sales of goods, even a slight variance from the contract may allow you to reject and recover your deposit.</w:t>
      </w:r>
      <w:r>
        <w:t xml:space="preserve"> </w:t>
      </w:r>
      <w:r w:rsidRPr="00040046">
        <w:t xml:space="preserve">However, for services, you must show that the seller’s breach substantially impairs the value to you of </w:t>
      </w:r>
      <w:r>
        <w:t>their</w:t>
      </w:r>
      <w:r w:rsidRPr="00040046">
        <w:t xml:space="preserve"> performance, or that </w:t>
      </w:r>
      <w:r>
        <w:t>they</w:t>
      </w:r>
      <w:r w:rsidRPr="00040046">
        <w:t xml:space="preserve"> acted willfully or negligently. </w:t>
      </w:r>
    </w:p>
    <w:p w14:paraId="4EE0C9A8" w14:textId="7E6D74F8" w:rsidR="00E26EEC" w:rsidRPr="00040046" w:rsidRDefault="00E26EEC" w:rsidP="00B060AB">
      <w:r w:rsidRPr="00040046">
        <w:t xml:space="preserve">For example, if you contract with a carpenter for a new porch, with construction to begin on June 1, and the carpenter does not start until June 3, you probably cannot cancel the contract and recover your deposit. </w:t>
      </w:r>
    </w:p>
    <w:p w14:paraId="20A508F3" w14:textId="0BC2DB23" w:rsidR="00E26EEC" w:rsidRPr="00040046" w:rsidRDefault="00E26EEC" w:rsidP="00B060AB">
      <w:r w:rsidRPr="00040046">
        <w:t xml:space="preserve">However, if the porch was to be used for a wedding on June </w:t>
      </w:r>
      <w:r>
        <w:t>1</w:t>
      </w:r>
      <w:r w:rsidRPr="00040046">
        <w:t xml:space="preserve">5, and the carpenter knew this, the failure to start on June 1 </w:t>
      </w:r>
      <w:r>
        <w:t>c</w:t>
      </w:r>
      <w:r w:rsidRPr="00040046">
        <w:t>ould be a substantial breach allowing you to cancel and recover your deposit.</w:t>
      </w:r>
    </w:p>
    <w:p w14:paraId="765520B9" w14:textId="79DAC26B" w:rsidR="00E26EEC" w:rsidRPr="00040046" w:rsidRDefault="00E26EEC" w:rsidP="00B060AB">
      <w:pPr>
        <w:pStyle w:val="Heading2"/>
      </w:pPr>
      <w:bookmarkStart w:id="11" w:name="_Toc227241631"/>
      <w:r w:rsidRPr="00040046">
        <w:lastRenderedPageBreak/>
        <w:t>Damages</w:t>
      </w:r>
      <w:bookmarkEnd w:id="11"/>
    </w:p>
    <w:p w14:paraId="7FBEA91A" w14:textId="2CFED0CD" w:rsidR="00E26EEC" w:rsidRPr="00040046" w:rsidRDefault="00E26EEC" w:rsidP="00B1608B">
      <w:r w:rsidRPr="00040046">
        <w:t>If the buyer of services cancels the contract without sufficient justification, then the seller may keep so much of the buyer’s deposit as will cover his damages</w:t>
      </w:r>
      <w:r>
        <w:t>, which may include administrative costs and lost profits</w:t>
      </w:r>
      <w:r w:rsidRPr="00040046">
        <w:t xml:space="preserve">. </w:t>
      </w:r>
    </w:p>
    <w:p w14:paraId="506A58E2" w14:textId="469D1C2B" w:rsidR="00E26EEC" w:rsidRDefault="00E26EEC" w:rsidP="00B060AB">
      <w:r>
        <w:t>Because</w:t>
      </w:r>
      <w:r w:rsidRPr="00040046">
        <w:t xml:space="preserve"> the seller already has your deposit, it may be difficult to recover any money, even if the deposit exceeds the seller’s damages. You may have to sue to recover your money.</w:t>
      </w:r>
    </w:p>
    <w:p w14:paraId="6596E88E" w14:textId="6338CFC0" w:rsidR="00E26EEC" w:rsidRPr="00040046" w:rsidRDefault="00E26EEC" w:rsidP="00A02B85">
      <w:pPr>
        <w:pStyle w:val="Heading1"/>
      </w:pPr>
      <w:bookmarkStart w:id="12" w:name="_Toc227241632"/>
      <w:r>
        <w:t>5.13 Magnuson-Moss Consumer Warranty Act</w:t>
      </w:r>
      <w:bookmarkEnd w:id="12"/>
    </w:p>
    <w:p w14:paraId="6C94FD90" w14:textId="3CFCB50D" w:rsidR="00BD3144" w:rsidRDefault="00E26EEC" w:rsidP="00BD3144">
      <w:r w:rsidRPr="00040046">
        <w:t xml:space="preserve">The Magnuson-Moss </w:t>
      </w:r>
      <w:r>
        <w:t xml:space="preserve">Warranty </w:t>
      </w:r>
      <w:r w:rsidRPr="00040046">
        <w:t>Act</w:t>
      </w:r>
      <w:r>
        <w:rPr>
          <w:rStyle w:val="FootnoteReference"/>
        </w:rPr>
        <w:footnoteReference w:id="12"/>
      </w:r>
      <w:r>
        <w:t xml:space="preserve"> is a federal law governing written warranties provided by businesses for consumer goods. The Act does not require any business to provide a warranty; instead, it establishes requirements for those businesses that offer written warranties. If a business provides a written warranty for </w:t>
      </w:r>
      <w:proofErr w:type="gramStart"/>
      <w:r>
        <w:t>a consumer good</w:t>
      </w:r>
      <w:proofErr w:type="gramEnd"/>
      <w:r>
        <w:t>, then the Act prohibits the business from disclaiming any implied warranties during the term of the written warranty. This means that if a business provides a written warranty with respect to a good sold to someone in Maine but disclaims the implied warranty of merchantability during the term of the written warranty, the business is violating both federal law and Maine law.</w:t>
      </w:r>
      <w:r w:rsidR="00BD3144">
        <w:t xml:space="preserve"> </w:t>
      </w:r>
    </w:p>
    <w:p w14:paraId="6B77FFDB" w14:textId="3A626A4E" w:rsidR="00E26EEC" w:rsidRPr="00040046" w:rsidRDefault="00E26EEC" w:rsidP="00BD3144">
      <w:r>
        <w:t xml:space="preserve">Additionally, if a business sells a service contract for a consumer good within 90 days of the sale of the good, then it cannot disclaim any implied warranties. This is particularly important in Maine with respect to used car sales, because Maine law permits a used car seller to disclaim implied warranties. If you buy a used car and a service contract for it, then you have implied warranty protection. </w:t>
      </w:r>
      <w:r w:rsidRPr="00040046">
        <w:t xml:space="preserve">The possible remedies for violation of </w:t>
      </w:r>
      <w:r>
        <w:t>the Act</w:t>
      </w:r>
      <w:r w:rsidRPr="00040046">
        <w:t xml:space="preserve"> include damages, equitable relief and attorney fees.</w:t>
      </w:r>
      <w:r w:rsidR="004E08D0">
        <w:t xml:space="preserve"> </w:t>
      </w:r>
    </w:p>
    <w:p w14:paraId="6F59CE9B" w14:textId="73939C9F" w:rsidR="00E26EEC" w:rsidRPr="00040046" w:rsidRDefault="00E26EEC" w:rsidP="004A1ACD">
      <w:pPr>
        <w:pStyle w:val="Heading1"/>
      </w:pPr>
      <w:bookmarkStart w:id="13" w:name="_Toc227241633"/>
      <w:r>
        <w:t>5.14 “As-Is” Sales</w:t>
      </w:r>
      <w:bookmarkEnd w:id="13"/>
    </w:p>
    <w:p w14:paraId="0CD5889E" w14:textId="0DD8E86C" w:rsidR="00E26EEC" w:rsidRDefault="00E26EEC" w:rsidP="00B060AB">
      <w:r w:rsidRPr="00040046">
        <w:t>It may be a violation of</w:t>
      </w:r>
      <w:r w:rsidR="004E08D0">
        <w:t xml:space="preserve"> </w:t>
      </w:r>
      <w:r w:rsidRPr="00040046">
        <w:t xml:space="preserve">Maine </w:t>
      </w:r>
      <w:r>
        <w:t xml:space="preserve">law </w:t>
      </w:r>
      <w:r w:rsidRPr="00040046">
        <w:t xml:space="preserve">to label a consumer good “as </w:t>
      </w:r>
      <w:proofErr w:type="gramStart"/>
      <w:r w:rsidRPr="00040046">
        <w:t>is.”</w:t>
      </w:r>
      <w:proofErr w:type="gramEnd"/>
      <w:r>
        <w:t xml:space="preserve"> </w:t>
      </w:r>
      <w:r w:rsidRPr="00040046">
        <w:t>This age-old expression can be interpreted as an attempt to disclaim your implied warranty rights and Maine law prohibits this.</w:t>
      </w:r>
      <w:r>
        <w:t xml:space="preserve"> </w:t>
      </w:r>
      <w:r w:rsidRPr="00040046">
        <w:t>The most “as is” can mean in Maine is that the seller is not offering any</w:t>
      </w:r>
      <w:r>
        <w:t xml:space="preserve"> </w:t>
      </w:r>
      <w:r w:rsidRPr="00040046">
        <w:t>express warranties.</w:t>
      </w:r>
      <w:r>
        <w:t xml:space="preserve"> </w:t>
      </w:r>
      <w:r w:rsidRPr="00040046">
        <w:t xml:space="preserve">The consumer </w:t>
      </w:r>
      <w:r>
        <w:t xml:space="preserve">good </w:t>
      </w:r>
      <w:r w:rsidRPr="00040046">
        <w:t xml:space="preserve">(new or used) will still come with an implied warranty </w:t>
      </w:r>
      <w:proofErr w:type="gramStart"/>
      <w:r w:rsidRPr="00040046">
        <w:t>that it</w:t>
      </w:r>
      <w:proofErr w:type="gramEnd"/>
      <w:r w:rsidRPr="00040046">
        <w:t xml:space="preserve"> is not seriously defective.</w:t>
      </w:r>
      <w:r>
        <w:t xml:space="preserve"> </w:t>
      </w:r>
      <w:r w:rsidRPr="00040046">
        <w:t>The only exception to this rule is the sale of used cars.</w:t>
      </w:r>
      <w:r>
        <w:t xml:space="preserve"> U</w:t>
      </w:r>
      <w:r w:rsidRPr="00040046">
        <w:t xml:space="preserve">sed car dealers </w:t>
      </w:r>
      <w:r>
        <w:t xml:space="preserve">are allowed </w:t>
      </w:r>
      <w:r w:rsidRPr="00040046">
        <w:t xml:space="preserve">to disclaim implied warranties, but they must </w:t>
      </w:r>
      <w:r>
        <w:t xml:space="preserve">do so </w:t>
      </w:r>
      <w:r w:rsidRPr="00040046">
        <w:t>expressly.</w:t>
      </w:r>
      <w:r>
        <w:rPr>
          <w:rStyle w:val="FootnoteReference"/>
        </w:rPr>
        <w:footnoteReference w:id="13"/>
      </w:r>
      <w:r>
        <w:t xml:space="preserve"> </w:t>
      </w:r>
    </w:p>
    <w:p w14:paraId="76E6D0AA" w14:textId="4EC572CF" w:rsidR="00E26EEC" w:rsidRPr="00040046" w:rsidRDefault="00E26EEC" w:rsidP="00A02B85">
      <w:pPr>
        <w:pStyle w:val="Heading1"/>
      </w:pPr>
      <w:bookmarkStart w:id="14" w:name="_Toc227241634"/>
      <w:r>
        <w:t>5.15 Dangerous Consumer Goods</w:t>
      </w:r>
      <w:bookmarkEnd w:id="14"/>
    </w:p>
    <w:p w14:paraId="0FDFFD9A" w14:textId="6890A0EF" w:rsidR="00E26EEC" w:rsidRDefault="00E26EEC" w:rsidP="00B060AB">
      <w:r w:rsidRPr="00040046">
        <w:t xml:space="preserve">Sometimes consumer </w:t>
      </w:r>
      <w:r>
        <w:t>goods</w:t>
      </w:r>
      <w:r w:rsidRPr="00040046">
        <w:t xml:space="preserve"> are so defective that they can cause physical injury. This </w:t>
      </w:r>
      <w:r>
        <w:t>implicates</w:t>
      </w:r>
      <w:r w:rsidRPr="00040046">
        <w:t xml:space="preserve"> </w:t>
      </w:r>
      <w:r>
        <w:t>legal claims called</w:t>
      </w:r>
      <w:r w:rsidRPr="00040046">
        <w:t xml:space="preserve"> “tort</w:t>
      </w:r>
      <w:r>
        <w:t>s</w:t>
      </w:r>
      <w:r w:rsidRPr="00040046">
        <w:t xml:space="preserve">” and one which is beyond the scope of this </w:t>
      </w:r>
      <w:r>
        <w:t>Guide</w:t>
      </w:r>
      <w:r w:rsidRPr="00040046">
        <w:t xml:space="preserve">. Maine does have </w:t>
      </w:r>
      <w:r w:rsidRPr="00040046">
        <w:lastRenderedPageBreak/>
        <w:t>specific laws protecting consumers from physical injury (e.g., the seller of unreasonably dangerous consumer goods is strictly liable if the product injures the consumer).</w:t>
      </w:r>
      <w:r>
        <w:rPr>
          <w:rStyle w:val="FootnoteReference"/>
        </w:rPr>
        <w:footnoteReference w:id="14"/>
      </w:r>
      <w:r>
        <w:t xml:space="preserve"> </w:t>
      </w:r>
      <w:r w:rsidRPr="00040046">
        <w:t xml:space="preserve">If you have been injured by </w:t>
      </w:r>
      <w:proofErr w:type="gramStart"/>
      <w:r w:rsidRPr="00040046">
        <w:t>a defective</w:t>
      </w:r>
      <w:proofErr w:type="gramEnd"/>
      <w:r w:rsidRPr="00040046">
        <w:t xml:space="preserve"> consumer </w:t>
      </w:r>
      <w:proofErr w:type="gramStart"/>
      <w:r>
        <w:t>good</w:t>
      </w:r>
      <w:proofErr w:type="gramEnd"/>
      <w:r w:rsidRPr="00040046">
        <w:t xml:space="preserve">, you </w:t>
      </w:r>
      <w:r>
        <w:t xml:space="preserve">should </w:t>
      </w:r>
      <w:r w:rsidRPr="00040046">
        <w:t>seek the advice of a lawyer and contact the National Consumer Product Safety Commission.</w:t>
      </w:r>
    </w:p>
    <w:p w14:paraId="1F10A988" w14:textId="209D1EB5" w:rsidR="00E26EEC" w:rsidRPr="00040046" w:rsidRDefault="00E26EEC" w:rsidP="00A02B85">
      <w:pPr>
        <w:pStyle w:val="Heading1"/>
      </w:pPr>
      <w:bookmarkStart w:id="15" w:name="_Toc227241635"/>
      <w:r>
        <w:t>5.16 Leases and Rent-To-Own Transaction</w:t>
      </w:r>
      <w:r w:rsidR="000446FD">
        <w:t>s</w:t>
      </w:r>
      <w:bookmarkEnd w:id="15"/>
    </w:p>
    <w:p w14:paraId="5D447CCD" w14:textId="00169FF9" w:rsidR="00E26EEC" w:rsidRDefault="00E26EEC" w:rsidP="00B060AB">
      <w:r w:rsidRPr="00040046">
        <w:t xml:space="preserve">Maine </w:t>
      </w:r>
      <w:r>
        <w:t xml:space="preserve">law also providers protections for consumers who lease </w:t>
      </w:r>
      <w:r w:rsidRPr="00040046">
        <w:t>goods</w:t>
      </w:r>
      <w:r>
        <w:t xml:space="preserve"> or </w:t>
      </w:r>
      <w:proofErr w:type="gramStart"/>
      <w:r>
        <w:t>enter into</w:t>
      </w:r>
      <w:proofErr w:type="gramEnd"/>
      <w:r>
        <w:rPr>
          <w:rStyle w:val="FootnoteReference"/>
        </w:rPr>
        <w:footnoteReference w:id="15"/>
      </w:r>
      <w:r>
        <w:t xml:space="preserve"> </w:t>
      </w:r>
      <w:r w:rsidRPr="00040046">
        <w:t xml:space="preserve">“rent-to-own” </w:t>
      </w:r>
      <w:r>
        <w:t>contracts.</w:t>
      </w:r>
      <w:r w:rsidRPr="00040046">
        <w:t xml:space="preserve"> </w:t>
      </w:r>
      <w:r>
        <w:t>Among other things, the law requires rental purchase agreements to be in writing and</w:t>
      </w:r>
      <w:r w:rsidRPr="00040046">
        <w:t xml:space="preserve"> to disclose all terms.</w:t>
      </w:r>
      <w:r>
        <w:rPr>
          <w:rStyle w:val="FootnoteReference"/>
        </w:rPr>
        <w:footnoteReference w:id="16"/>
      </w:r>
      <w:r>
        <w:t xml:space="preserve"> </w:t>
      </w:r>
      <w:r w:rsidRPr="00040046">
        <w:t xml:space="preserve">The </w:t>
      </w:r>
      <w:hyperlink r:id="rId14" w:history="1">
        <w:r w:rsidRPr="00220B3B">
          <w:rPr>
            <w:rStyle w:val="Hyperlink"/>
          </w:rPr>
          <w:t>Bureau of Consumer Credit Protection</w:t>
        </w:r>
      </w:hyperlink>
      <w:r w:rsidR="00220B3B">
        <w:t xml:space="preserve"> (</w:t>
      </w:r>
      <w:hyperlink r:id="rId15" w:history="1">
        <w:r w:rsidR="00220B3B" w:rsidRPr="005D1CEF">
          <w:rPr>
            <w:rStyle w:val="Hyperlink"/>
          </w:rPr>
          <w:t>https://www.maine.gov/pfr/consumercredit/index.shtml</w:t>
        </w:r>
      </w:hyperlink>
      <w:r w:rsidR="00220B3B">
        <w:t>)</w:t>
      </w:r>
      <w:r w:rsidRPr="00040046">
        <w:t xml:space="preserve"> (</w:t>
      </w:r>
      <w:r w:rsidR="00220B3B">
        <w:t>1-</w:t>
      </w:r>
      <w:r w:rsidRPr="00040046">
        <w:t xml:space="preserve">800-332-8529) is responsible for enforcing </w:t>
      </w:r>
      <w:r>
        <w:t>the</w:t>
      </w:r>
      <w:r w:rsidRPr="00040046">
        <w:t xml:space="preserve"> law</w:t>
      </w:r>
      <w:r>
        <w:t xml:space="preserve"> governing rental purchase agreements</w:t>
      </w:r>
      <w:r w:rsidRPr="00040046">
        <w:t>.</w:t>
      </w:r>
    </w:p>
    <w:p w14:paraId="38B33A64" w14:textId="7A6CA074" w:rsidR="002120E5" w:rsidRPr="00040046" w:rsidRDefault="002120E5" w:rsidP="00B060AB">
      <w:pPr>
        <w:pStyle w:val="ListParagraph"/>
      </w:pPr>
    </w:p>
    <w:sectPr w:rsidR="002120E5" w:rsidRPr="00040046" w:rsidSect="00CC1386">
      <w:endnotePr>
        <w:numFmt w:val="decimal"/>
      </w:endnotePr>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5E9F3" w14:textId="77777777" w:rsidR="005F388A" w:rsidRDefault="005F388A" w:rsidP="00B060AB">
      <w:r>
        <w:separator/>
      </w:r>
    </w:p>
  </w:endnote>
  <w:endnote w:type="continuationSeparator" w:id="0">
    <w:p w14:paraId="19FE4680" w14:textId="77777777" w:rsidR="005F388A" w:rsidRDefault="005F388A" w:rsidP="00B06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28028"/>
      <w:docPartObj>
        <w:docPartGallery w:val="Page Numbers (Bottom of Page)"/>
        <w:docPartUnique/>
      </w:docPartObj>
    </w:sdtPr>
    <w:sdtEndPr>
      <w:rPr>
        <w:noProof/>
      </w:rPr>
    </w:sdtEndPr>
    <w:sdtContent>
      <w:p w14:paraId="540E71C7" w14:textId="640A8FF8" w:rsidR="00F05AAA" w:rsidRDefault="00F05A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801EAF" w14:textId="77777777" w:rsidR="00F05AAA" w:rsidRDefault="00F05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405CF" w14:textId="77777777" w:rsidR="005F388A" w:rsidRDefault="005F388A" w:rsidP="00B060AB">
      <w:r>
        <w:separator/>
      </w:r>
    </w:p>
  </w:footnote>
  <w:footnote w:type="continuationSeparator" w:id="0">
    <w:p w14:paraId="18144CB0" w14:textId="77777777" w:rsidR="005F388A" w:rsidRDefault="005F388A" w:rsidP="00B060AB">
      <w:r>
        <w:continuationSeparator/>
      </w:r>
    </w:p>
  </w:footnote>
  <w:footnote w:id="1">
    <w:p w14:paraId="3A6819C7" w14:textId="3A901A97" w:rsidR="00E26EEC" w:rsidRPr="00F66651" w:rsidRDefault="00E26EEC" w:rsidP="00F66651">
      <w:pPr>
        <w:pStyle w:val="FootnoteText"/>
        <w:ind w:left="432" w:hanging="432"/>
        <w:rPr>
          <w:sz w:val="24"/>
          <w:szCs w:val="24"/>
        </w:rPr>
      </w:pPr>
      <w:r w:rsidRPr="00F66651">
        <w:rPr>
          <w:rStyle w:val="FootnoteReference"/>
          <w:sz w:val="24"/>
          <w:szCs w:val="24"/>
        </w:rPr>
        <w:footnoteRef/>
      </w:r>
      <w:r w:rsidRPr="00F66651">
        <w:rPr>
          <w:sz w:val="24"/>
          <w:szCs w:val="24"/>
        </w:rPr>
        <w:t xml:space="preserve"> 11 M.R.S. § 2-601(1).</w:t>
      </w:r>
    </w:p>
  </w:footnote>
  <w:footnote w:id="2">
    <w:p w14:paraId="5B0860E2" w14:textId="0D35B708" w:rsidR="00E26EEC" w:rsidRPr="00F66651" w:rsidRDefault="00E26EEC" w:rsidP="00F66651">
      <w:pPr>
        <w:pStyle w:val="CLGendnotes"/>
        <w:ind w:left="432" w:hanging="432"/>
        <w:rPr>
          <w:rFonts w:asciiTheme="minorHAnsi" w:hAnsiTheme="minorHAnsi"/>
        </w:rPr>
      </w:pPr>
      <w:r w:rsidRPr="00F66651">
        <w:rPr>
          <w:rStyle w:val="FootnoteReference"/>
          <w:rFonts w:asciiTheme="minorHAnsi" w:hAnsiTheme="minorHAnsi"/>
        </w:rPr>
        <w:footnoteRef/>
      </w:r>
      <w:r w:rsidRPr="00F66651">
        <w:rPr>
          <w:rFonts w:asciiTheme="minorHAnsi" w:hAnsiTheme="minorHAnsi"/>
        </w:rPr>
        <w:t xml:space="preserve"> 11 M.R.S. § 2-508. </w:t>
      </w:r>
    </w:p>
  </w:footnote>
  <w:footnote w:id="3">
    <w:p w14:paraId="2431C51E" w14:textId="5995A87C" w:rsidR="00E26EEC" w:rsidRPr="00F66651" w:rsidRDefault="00E26EEC" w:rsidP="00F66651">
      <w:pPr>
        <w:pStyle w:val="CLGendnotes"/>
        <w:ind w:left="432" w:hanging="432"/>
        <w:rPr>
          <w:rFonts w:asciiTheme="minorHAnsi" w:hAnsiTheme="minorHAnsi"/>
        </w:rPr>
      </w:pPr>
      <w:r w:rsidRPr="00F66651">
        <w:rPr>
          <w:rStyle w:val="FootnoteReference"/>
          <w:rFonts w:asciiTheme="minorHAnsi" w:hAnsiTheme="minorHAnsi"/>
        </w:rPr>
        <w:footnoteRef/>
      </w:r>
      <w:r w:rsidRPr="00F66651">
        <w:rPr>
          <w:rFonts w:asciiTheme="minorHAnsi" w:hAnsiTheme="minorHAnsi"/>
        </w:rPr>
        <w:t xml:space="preserve"> 11 M.R.S. § 309. If a specific delivery date is not set, then the goods must be delivered within a reasonable time.</w:t>
      </w:r>
    </w:p>
  </w:footnote>
  <w:footnote w:id="4">
    <w:p w14:paraId="7C382F71" w14:textId="5D6D892B" w:rsidR="00E26EEC" w:rsidRPr="00F66651" w:rsidRDefault="00E26EEC" w:rsidP="00F66651">
      <w:pPr>
        <w:pStyle w:val="CLGendnotes"/>
        <w:ind w:left="432" w:hanging="432"/>
        <w:rPr>
          <w:rFonts w:asciiTheme="minorHAnsi" w:hAnsiTheme="minorHAnsi"/>
        </w:rPr>
      </w:pPr>
      <w:r w:rsidRPr="00F66651">
        <w:rPr>
          <w:rStyle w:val="FootnoteReference"/>
          <w:rFonts w:asciiTheme="minorHAnsi" w:hAnsiTheme="minorHAnsi"/>
        </w:rPr>
        <w:footnoteRef/>
      </w:r>
      <w:r w:rsidRPr="00F66651">
        <w:rPr>
          <w:rFonts w:asciiTheme="minorHAnsi" w:hAnsiTheme="minorHAnsi"/>
        </w:rPr>
        <w:t xml:space="preserve"> 11 M.R.S. § 2-602(1).</w:t>
      </w:r>
    </w:p>
  </w:footnote>
  <w:footnote w:id="5">
    <w:p w14:paraId="4CF02AC1" w14:textId="4E341495" w:rsidR="00E26EEC" w:rsidRPr="00F66651" w:rsidRDefault="00E26EEC" w:rsidP="00F66651">
      <w:pPr>
        <w:pStyle w:val="CLGendnotes"/>
        <w:ind w:left="432" w:hanging="432"/>
        <w:rPr>
          <w:rFonts w:asciiTheme="minorHAnsi" w:hAnsiTheme="minorHAnsi"/>
        </w:rPr>
      </w:pPr>
      <w:r w:rsidRPr="00F66651">
        <w:rPr>
          <w:rStyle w:val="FootnoteReference"/>
          <w:rFonts w:asciiTheme="minorHAnsi" w:hAnsiTheme="minorHAnsi"/>
        </w:rPr>
        <w:footnoteRef/>
      </w:r>
      <w:r w:rsidRPr="00F66651">
        <w:rPr>
          <w:rFonts w:asciiTheme="minorHAnsi" w:hAnsiTheme="minorHAnsi"/>
        </w:rPr>
        <w:t xml:space="preserve"> 11 M.R.S. § 2-508(1).</w:t>
      </w:r>
    </w:p>
  </w:footnote>
  <w:footnote w:id="6">
    <w:p w14:paraId="192672E8" w14:textId="3F06696D" w:rsidR="00E26EEC" w:rsidRPr="00F66651" w:rsidRDefault="00E26EEC" w:rsidP="00F66651">
      <w:pPr>
        <w:pStyle w:val="CLGendnotes"/>
        <w:ind w:left="432" w:hanging="432"/>
        <w:rPr>
          <w:rFonts w:asciiTheme="minorHAnsi" w:hAnsiTheme="minorHAnsi"/>
        </w:rPr>
      </w:pPr>
      <w:r w:rsidRPr="00F66651">
        <w:rPr>
          <w:rStyle w:val="FootnoteReference"/>
          <w:rFonts w:asciiTheme="minorHAnsi" w:hAnsiTheme="minorHAnsi"/>
        </w:rPr>
        <w:footnoteRef/>
      </w:r>
      <w:r w:rsidRPr="00F66651">
        <w:rPr>
          <w:rFonts w:asciiTheme="minorHAnsi" w:hAnsiTheme="minorHAnsi"/>
        </w:rPr>
        <w:t xml:space="preserve"> 11 M.R.S. § 2-3l4.</w:t>
      </w:r>
    </w:p>
  </w:footnote>
  <w:footnote w:id="7">
    <w:p w14:paraId="339BCF0C" w14:textId="74075782" w:rsidR="00E26EEC" w:rsidRPr="00F66651" w:rsidRDefault="00E26EEC" w:rsidP="00F66651">
      <w:pPr>
        <w:pStyle w:val="CLGendnotes"/>
        <w:ind w:left="432" w:hanging="432"/>
        <w:rPr>
          <w:rFonts w:asciiTheme="minorHAnsi" w:hAnsiTheme="minorHAnsi"/>
        </w:rPr>
      </w:pPr>
      <w:r w:rsidRPr="00F66651">
        <w:rPr>
          <w:rStyle w:val="FootnoteReference"/>
          <w:rFonts w:asciiTheme="minorHAnsi" w:hAnsiTheme="minorHAnsi"/>
        </w:rPr>
        <w:footnoteRef/>
      </w:r>
      <w:r w:rsidRPr="00F66651">
        <w:rPr>
          <w:rFonts w:asciiTheme="minorHAnsi" w:hAnsiTheme="minorHAnsi"/>
        </w:rPr>
        <w:t xml:space="preserve"> 11 M.R.S. 2-714(2).</w:t>
      </w:r>
    </w:p>
  </w:footnote>
  <w:footnote w:id="8">
    <w:p w14:paraId="7FCF6A8D" w14:textId="4DF009D6" w:rsidR="00E26EEC" w:rsidRPr="00F66651" w:rsidRDefault="00E26EEC" w:rsidP="00F66651">
      <w:pPr>
        <w:pStyle w:val="CLGendnotes"/>
        <w:ind w:left="432" w:hanging="432"/>
        <w:rPr>
          <w:rFonts w:asciiTheme="minorHAnsi" w:hAnsiTheme="minorHAnsi"/>
        </w:rPr>
      </w:pPr>
      <w:r w:rsidRPr="00F66651">
        <w:rPr>
          <w:rStyle w:val="FootnoteReference"/>
          <w:rFonts w:asciiTheme="minorHAnsi" w:hAnsiTheme="minorHAnsi"/>
        </w:rPr>
        <w:footnoteRef/>
      </w:r>
      <w:r w:rsidRPr="00F66651">
        <w:rPr>
          <w:rFonts w:asciiTheme="minorHAnsi" w:hAnsiTheme="minorHAnsi"/>
        </w:rPr>
        <w:t xml:space="preserve"> Incidental damages resulting from the breach </w:t>
      </w:r>
      <w:r>
        <w:rPr>
          <w:rFonts w:asciiTheme="minorHAnsi" w:hAnsiTheme="minorHAnsi"/>
        </w:rPr>
        <w:t>might include</w:t>
      </w:r>
      <w:r w:rsidRPr="00F66651">
        <w:rPr>
          <w:rFonts w:asciiTheme="minorHAnsi" w:hAnsiTheme="minorHAnsi"/>
        </w:rPr>
        <w:t xml:space="preserve"> reasonable expenses for the care of defective goods</w:t>
      </w:r>
      <w:r>
        <w:rPr>
          <w:rFonts w:asciiTheme="minorHAnsi" w:hAnsiTheme="minorHAnsi"/>
        </w:rPr>
        <w:t>, such as the cost of towing a defective vehicle to a garage</w:t>
      </w:r>
      <w:r w:rsidRPr="00F66651">
        <w:rPr>
          <w:rFonts w:asciiTheme="minorHAnsi" w:hAnsiTheme="minorHAnsi"/>
        </w:rPr>
        <w:t>.</w:t>
      </w:r>
    </w:p>
  </w:footnote>
  <w:footnote w:id="9">
    <w:p w14:paraId="45C48056" w14:textId="62CAECBA" w:rsidR="00E26EEC" w:rsidRPr="00F66651" w:rsidRDefault="00E26EEC" w:rsidP="00F66651">
      <w:pPr>
        <w:pStyle w:val="CLGendnotes"/>
        <w:ind w:left="432" w:hanging="432"/>
        <w:rPr>
          <w:rFonts w:asciiTheme="minorHAnsi" w:hAnsiTheme="minorHAnsi"/>
        </w:rPr>
      </w:pPr>
      <w:r w:rsidRPr="00F66651">
        <w:rPr>
          <w:rStyle w:val="FootnoteReference"/>
          <w:rFonts w:asciiTheme="minorHAnsi" w:hAnsiTheme="minorHAnsi"/>
        </w:rPr>
        <w:footnoteRef/>
      </w:r>
      <w:r w:rsidRPr="00F66651">
        <w:rPr>
          <w:rFonts w:asciiTheme="minorHAnsi" w:hAnsiTheme="minorHAnsi"/>
        </w:rPr>
        <w:t xml:space="preserve"> 11 M.R.S. § 2-715. Consequential damages include damages which could not reasonably be </w:t>
      </w:r>
      <w:proofErr w:type="gramStart"/>
      <w:r w:rsidRPr="00F66651">
        <w:rPr>
          <w:rFonts w:asciiTheme="minorHAnsi" w:hAnsiTheme="minorHAnsi"/>
        </w:rPr>
        <w:t>avoided</w:t>
      </w:r>
      <w:proofErr w:type="gramEnd"/>
      <w:r w:rsidRPr="00F66651">
        <w:rPr>
          <w:rFonts w:asciiTheme="minorHAnsi" w:hAnsiTheme="minorHAnsi"/>
        </w:rPr>
        <w:t xml:space="preserve"> and which are a direct result of the breach. For example, if </w:t>
      </w:r>
      <w:r>
        <w:rPr>
          <w:rFonts w:asciiTheme="minorHAnsi" w:hAnsiTheme="minorHAnsi"/>
        </w:rPr>
        <w:t>a</w:t>
      </w:r>
      <w:r w:rsidRPr="00F66651">
        <w:rPr>
          <w:rFonts w:asciiTheme="minorHAnsi" w:hAnsiTheme="minorHAnsi"/>
        </w:rPr>
        <w:t xml:space="preserve"> consumer were sold a defective car and that car was the consumer’s only available form of transportation, then the cost of a rental vehicle </w:t>
      </w:r>
      <w:r>
        <w:rPr>
          <w:rFonts w:asciiTheme="minorHAnsi" w:hAnsiTheme="minorHAnsi"/>
        </w:rPr>
        <w:t>or other transposition c</w:t>
      </w:r>
      <w:r w:rsidRPr="00F66651">
        <w:rPr>
          <w:rFonts w:asciiTheme="minorHAnsi" w:hAnsiTheme="minorHAnsi"/>
        </w:rPr>
        <w:t>ould be a consequential damage.</w:t>
      </w:r>
    </w:p>
  </w:footnote>
  <w:footnote w:id="10">
    <w:p w14:paraId="50B741B8" w14:textId="20A8CE0B" w:rsidR="00E26EEC" w:rsidRPr="00F66651" w:rsidRDefault="00E26EEC" w:rsidP="00F66651">
      <w:pPr>
        <w:pStyle w:val="CLGendnotes"/>
        <w:ind w:left="432" w:hanging="432"/>
        <w:rPr>
          <w:rFonts w:asciiTheme="minorHAnsi" w:hAnsiTheme="minorHAnsi"/>
        </w:rPr>
      </w:pPr>
      <w:r w:rsidRPr="00F66651">
        <w:rPr>
          <w:rStyle w:val="FootnoteReference"/>
          <w:rFonts w:asciiTheme="minorHAnsi" w:hAnsiTheme="minorHAnsi"/>
        </w:rPr>
        <w:footnoteRef/>
      </w:r>
      <w:r w:rsidRPr="00F66651">
        <w:rPr>
          <w:rFonts w:asciiTheme="minorHAnsi" w:hAnsiTheme="minorHAnsi"/>
        </w:rPr>
        <w:t xml:space="preserve"> 5 M.R.S. § 213.</w:t>
      </w:r>
    </w:p>
  </w:footnote>
  <w:footnote w:id="11">
    <w:p w14:paraId="0E381597" w14:textId="09362F18" w:rsidR="00E26EEC" w:rsidRPr="00F66651" w:rsidRDefault="00E26EEC" w:rsidP="00F66651">
      <w:pPr>
        <w:pStyle w:val="CLGendnotes"/>
        <w:ind w:left="432" w:hanging="432"/>
        <w:rPr>
          <w:rFonts w:asciiTheme="minorHAnsi" w:hAnsiTheme="minorHAnsi"/>
        </w:rPr>
      </w:pPr>
      <w:r w:rsidRPr="00F66651">
        <w:rPr>
          <w:rStyle w:val="FootnoteReference"/>
          <w:rFonts w:asciiTheme="minorHAnsi" w:hAnsiTheme="minorHAnsi"/>
        </w:rPr>
        <w:footnoteRef/>
      </w:r>
      <w:r w:rsidRPr="00F66651">
        <w:rPr>
          <w:rFonts w:asciiTheme="minorHAnsi" w:hAnsiTheme="minorHAnsi"/>
        </w:rPr>
        <w:t xml:space="preserve"> 11 M.R.S. § 2-718(2). </w:t>
      </w:r>
    </w:p>
  </w:footnote>
  <w:footnote w:id="12">
    <w:p w14:paraId="7806DD59" w14:textId="29885590" w:rsidR="00E26EEC" w:rsidRPr="00F66651" w:rsidRDefault="00E26EEC" w:rsidP="00F66651">
      <w:pPr>
        <w:pStyle w:val="CLGendnotes"/>
        <w:ind w:left="432" w:hanging="432"/>
        <w:rPr>
          <w:rFonts w:asciiTheme="minorHAnsi" w:hAnsiTheme="minorHAnsi"/>
        </w:rPr>
      </w:pPr>
      <w:r w:rsidRPr="00F66651">
        <w:rPr>
          <w:rStyle w:val="FootnoteReference"/>
          <w:rFonts w:asciiTheme="minorHAnsi" w:hAnsiTheme="minorHAnsi"/>
        </w:rPr>
        <w:footnoteRef/>
      </w:r>
      <w:r w:rsidRPr="00F66651">
        <w:rPr>
          <w:rFonts w:asciiTheme="minorHAnsi" w:hAnsiTheme="minorHAnsi"/>
        </w:rPr>
        <w:t xml:space="preserve"> 15 U.S.C. §§ 2301-2312.</w:t>
      </w:r>
    </w:p>
  </w:footnote>
  <w:footnote w:id="13">
    <w:p w14:paraId="49D9852C" w14:textId="4D093F18" w:rsidR="00E26EEC" w:rsidRPr="00F66651" w:rsidRDefault="00E26EEC" w:rsidP="00F66651">
      <w:pPr>
        <w:pStyle w:val="CLGendnotes"/>
        <w:ind w:left="432" w:hanging="432"/>
        <w:rPr>
          <w:rFonts w:asciiTheme="minorHAnsi" w:hAnsiTheme="minorHAnsi"/>
        </w:rPr>
      </w:pPr>
      <w:r w:rsidRPr="00F66651">
        <w:rPr>
          <w:rStyle w:val="FootnoteReference"/>
          <w:rFonts w:asciiTheme="minorHAnsi" w:hAnsiTheme="minorHAnsi"/>
        </w:rPr>
        <w:footnoteRef/>
      </w:r>
      <w:r w:rsidRPr="00F66651">
        <w:rPr>
          <w:rFonts w:asciiTheme="minorHAnsi" w:hAnsiTheme="minorHAnsi"/>
        </w:rPr>
        <w:t xml:space="preserve"> 10 M.R.S. § 1473</w:t>
      </w:r>
      <w:r>
        <w:rPr>
          <w:rFonts w:asciiTheme="minorHAnsi" w:hAnsiTheme="minorHAnsi"/>
        </w:rPr>
        <w:t>; 11 M.R.S. § 2-316(5)</w:t>
      </w:r>
      <w:r w:rsidRPr="00F66651">
        <w:rPr>
          <w:rFonts w:asciiTheme="minorHAnsi" w:hAnsiTheme="minorHAnsi"/>
        </w:rPr>
        <w:t xml:space="preserve">. </w:t>
      </w:r>
    </w:p>
  </w:footnote>
  <w:footnote w:id="14">
    <w:p w14:paraId="048DDF4D" w14:textId="21AC34E2" w:rsidR="00E26EEC" w:rsidRPr="00F66651" w:rsidRDefault="00E26EEC" w:rsidP="00F66651">
      <w:pPr>
        <w:pStyle w:val="CLGendnotes"/>
        <w:ind w:left="432" w:hanging="432"/>
        <w:rPr>
          <w:rFonts w:asciiTheme="minorHAnsi" w:hAnsiTheme="minorHAnsi"/>
        </w:rPr>
      </w:pPr>
      <w:r w:rsidRPr="00F66651">
        <w:rPr>
          <w:rStyle w:val="FootnoteReference"/>
          <w:rFonts w:asciiTheme="minorHAnsi" w:hAnsiTheme="minorHAnsi"/>
        </w:rPr>
        <w:footnoteRef/>
      </w:r>
      <w:r w:rsidRPr="00F66651">
        <w:rPr>
          <w:rFonts w:asciiTheme="minorHAnsi" w:hAnsiTheme="minorHAnsi"/>
        </w:rPr>
        <w:t xml:space="preserve"> </w:t>
      </w:r>
      <w:r w:rsidRPr="00040046">
        <w:t>14 M.R.S. § 221</w:t>
      </w:r>
      <w:r>
        <w:t>.</w:t>
      </w:r>
      <w:r w:rsidRPr="00040046">
        <w:t xml:space="preserve"> </w:t>
      </w:r>
    </w:p>
  </w:footnote>
  <w:footnote w:id="15">
    <w:p w14:paraId="623F51E4" w14:textId="6675945F" w:rsidR="00E26EEC" w:rsidRPr="00F66651" w:rsidRDefault="00E26EEC" w:rsidP="00F66651">
      <w:pPr>
        <w:pStyle w:val="CLGendnotes"/>
        <w:ind w:left="432" w:hanging="432"/>
        <w:rPr>
          <w:rFonts w:asciiTheme="minorHAnsi" w:hAnsiTheme="minorHAnsi"/>
        </w:rPr>
      </w:pPr>
      <w:r w:rsidRPr="00F66651">
        <w:rPr>
          <w:rStyle w:val="FootnoteReference"/>
          <w:rFonts w:asciiTheme="minorHAnsi" w:hAnsiTheme="minorHAnsi"/>
        </w:rPr>
        <w:footnoteRef/>
      </w:r>
      <w:r w:rsidRPr="00F66651">
        <w:rPr>
          <w:rFonts w:asciiTheme="minorHAnsi" w:hAnsiTheme="minorHAnsi"/>
        </w:rPr>
        <w:t xml:space="preserve"> 11 M.R.S. § 2-1104(1)(c)</w:t>
      </w:r>
      <w:r>
        <w:rPr>
          <w:rFonts w:asciiTheme="minorHAnsi" w:hAnsiTheme="minorHAnsi"/>
        </w:rPr>
        <w:t>.</w:t>
      </w:r>
    </w:p>
  </w:footnote>
  <w:footnote w:id="16">
    <w:p w14:paraId="0ACFBEF0" w14:textId="47C9EB49" w:rsidR="00E26EEC" w:rsidRPr="00F66651" w:rsidRDefault="00E26EEC" w:rsidP="00F66651">
      <w:pPr>
        <w:pStyle w:val="CLGendnotes"/>
        <w:ind w:left="432" w:hanging="432"/>
        <w:rPr>
          <w:rFonts w:asciiTheme="minorHAnsi" w:hAnsiTheme="minorHAnsi"/>
        </w:rPr>
      </w:pPr>
      <w:r w:rsidRPr="00F66651">
        <w:rPr>
          <w:rStyle w:val="FootnoteReference"/>
          <w:rFonts w:asciiTheme="minorHAnsi" w:hAnsiTheme="minorHAnsi"/>
        </w:rPr>
        <w:footnoteRef/>
      </w:r>
      <w:r w:rsidRPr="00F66651">
        <w:rPr>
          <w:rFonts w:asciiTheme="minorHAnsi" w:hAnsiTheme="minorHAnsi"/>
        </w:rPr>
        <w:t xml:space="preserve"> 9</w:t>
      </w:r>
      <w:r>
        <w:rPr>
          <w:rFonts w:asciiTheme="minorHAnsi" w:hAnsiTheme="minorHAnsi"/>
        </w:rPr>
        <w:t>-</w:t>
      </w:r>
      <w:r w:rsidRPr="00F66651">
        <w:rPr>
          <w:rFonts w:asciiTheme="minorHAnsi" w:hAnsiTheme="minorHAnsi"/>
        </w:rPr>
        <w:t>A M.R.S. §§ 11-101 to 11-121.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7489" w14:textId="108707E6" w:rsidR="002715D7" w:rsidRPr="00A37C09" w:rsidRDefault="002715D7" w:rsidP="00B060AB">
    <w:pPr>
      <w:pStyle w:val="Header"/>
    </w:pPr>
    <w:r w:rsidRPr="00A37C09">
      <w:ptab w:relativeTo="margin" w:alignment="center" w:leader="none"/>
    </w:r>
    <w:r w:rsidR="00F37687" w:rsidRPr="00A37C09">
      <w:t>Maine Consumer Law Guide</w:t>
    </w:r>
    <w:r w:rsidRPr="00A37C09">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0AA5"/>
    <w:multiLevelType w:val="hybridMultilevel"/>
    <w:tmpl w:val="1B2CAE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C1A3D"/>
    <w:multiLevelType w:val="hybridMultilevel"/>
    <w:tmpl w:val="75CC70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A6454E"/>
    <w:multiLevelType w:val="hybridMultilevel"/>
    <w:tmpl w:val="EB7CBB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35211D"/>
    <w:multiLevelType w:val="hybridMultilevel"/>
    <w:tmpl w:val="4D5E966E"/>
    <w:lvl w:ilvl="0" w:tplc="F824385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214633"/>
    <w:multiLevelType w:val="hybridMultilevel"/>
    <w:tmpl w:val="DA66FB22"/>
    <w:lvl w:ilvl="0" w:tplc="4FCA78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9E0274D"/>
    <w:multiLevelType w:val="hybridMultilevel"/>
    <w:tmpl w:val="83584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093B6D"/>
    <w:multiLevelType w:val="hybridMultilevel"/>
    <w:tmpl w:val="0C22E4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BE3C8E"/>
    <w:multiLevelType w:val="hybridMultilevel"/>
    <w:tmpl w:val="A84E22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D5611A"/>
    <w:multiLevelType w:val="hybridMultilevel"/>
    <w:tmpl w:val="DC64748E"/>
    <w:lvl w:ilvl="0" w:tplc="4E1E41F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9B2EA5"/>
    <w:multiLevelType w:val="hybridMultilevel"/>
    <w:tmpl w:val="72E684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E56661"/>
    <w:multiLevelType w:val="hybridMultilevel"/>
    <w:tmpl w:val="7F127B04"/>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F133EC4"/>
    <w:multiLevelType w:val="hybridMultilevel"/>
    <w:tmpl w:val="B360F656"/>
    <w:lvl w:ilvl="0" w:tplc="B62093E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AA00F5"/>
    <w:multiLevelType w:val="hybridMultilevel"/>
    <w:tmpl w:val="D05A8C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2B4CA4"/>
    <w:multiLevelType w:val="hybridMultilevel"/>
    <w:tmpl w:val="48C64CFE"/>
    <w:lvl w:ilvl="0" w:tplc="9E76A16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696649"/>
    <w:multiLevelType w:val="hybridMultilevel"/>
    <w:tmpl w:val="9CA258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DE74A4"/>
    <w:multiLevelType w:val="hybridMultilevel"/>
    <w:tmpl w:val="ABA8DD08"/>
    <w:lvl w:ilvl="0" w:tplc="B83EC45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43C2FD3"/>
    <w:multiLevelType w:val="hybridMultilevel"/>
    <w:tmpl w:val="FA2AC8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C720C5"/>
    <w:multiLevelType w:val="hybridMultilevel"/>
    <w:tmpl w:val="BD284AFE"/>
    <w:lvl w:ilvl="0" w:tplc="B75E44FE">
      <w:start w:val="1"/>
      <w:numFmt w:val="upperLetter"/>
      <w:lvlText w:val="%1."/>
      <w:lvlJc w:val="left"/>
      <w:pPr>
        <w:ind w:left="1080" w:hanging="720"/>
      </w:pPr>
      <w:rPr>
        <w:rFonts w:hint="default"/>
      </w:rPr>
    </w:lvl>
    <w:lvl w:ilvl="1" w:tplc="4DD426F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BF4DDE"/>
    <w:multiLevelType w:val="hybridMultilevel"/>
    <w:tmpl w:val="53405440"/>
    <w:lvl w:ilvl="0" w:tplc="7B42206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70109F"/>
    <w:multiLevelType w:val="hybridMultilevel"/>
    <w:tmpl w:val="F08CB4D0"/>
    <w:lvl w:ilvl="0" w:tplc="4FAE297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21E45A2"/>
    <w:multiLevelType w:val="hybridMultilevel"/>
    <w:tmpl w:val="206E90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9C66F8"/>
    <w:multiLevelType w:val="hybridMultilevel"/>
    <w:tmpl w:val="CD7A40F6"/>
    <w:lvl w:ilvl="0" w:tplc="1688D7AA">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7032209">
    <w:abstractNumId w:val="9"/>
  </w:num>
  <w:num w:numId="2" w16cid:durableId="77874903">
    <w:abstractNumId w:val="3"/>
  </w:num>
  <w:num w:numId="3" w16cid:durableId="338046402">
    <w:abstractNumId w:val="6"/>
  </w:num>
  <w:num w:numId="4" w16cid:durableId="188154000">
    <w:abstractNumId w:val="13"/>
  </w:num>
  <w:num w:numId="5" w16cid:durableId="247546170">
    <w:abstractNumId w:val="2"/>
  </w:num>
  <w:num w:numId="6" w16cid:durableId="1297369807">
    <w:abstractNumId w:val="8"/>
  </w:num>
  <w:num w:numId="7" w16cid:durableId="859509667">
    <w:abstractNumId w:val="0"/>
  </w:num>
  <w:num w:numId="8" w16cid:durableId="229074064">
    <w:abstractNumId w:val="19"/>
  </w:num>
  <w:num w:numId="9" w16cid:durableId="1790781815">
    <w:abstractNumId w:val="1"/>
  </w:num>
  <w:num w:numId="10" w16cid:durableId="1217205820">
    <w:abstractNumId w:val="18"/>
  </w:num>
  <w:num w:numId="11" w16cid:durableId="1935699946">
    <w:abstractNumId w:val="5"/>
  </w:num>
  <w:num w:numId="12" w16cid:durableId="1285890722">
    <w:abstractNumId w:val="12"/>
  </w:num>
  <w:num w:numId="13" w16cid:durableId="2099280701">
    <w:abstractNumId w:val="4"/>
  </w:num>
  <w:num w:numId="14" w16cid:durableId="1459647517">
    <w:abstractNumId w:val="10"/>
  </w:num>
  <w:num w:numId="15" w16cid:durableId="206114969">
    <w:abstractNumId w:val="20"/>
  </w:num>
  <w:num w:numId="16" w16cid:durableId="1227033842">
    <w:abstractNumId w:val="15"/>
  </w:num>
  <w:num w:numId="17" w16cid:durableId="1783454823">
    <w:abstractNumId w:val="7"/>
  </w:num>
  <w:num w:numId="18" w16cid:durableId="1985616906">
    <w:abstractNumId w:val="11"/>
  </w:num>
  <w:num w:numId="19" w16cid:durableId="56782243">
    <w:abstractNumId w:val="16"/>
  </w:num>
  <w:num w:numId="20" w16cid:durableId="1368945957">
    <w:abstractNumId w:val="17"/>
  </w:num>
  <w:num w:numId="21" w16cid:durableId="1476986946">
    <w:abstractNumId w:val="21"/>
  </w:num>
  <w:num w:numId="22" w16cid:durableId="2074426637">
    <w:abstractNumId w:val="21"/>
    <w:lvlOverride w:ilvl="0">
      <w:startOverride w:val="1"/>
    </w:lvlOverride>
  </w:num>
  <w:num w:numId="23" w16cid:durableId="147406194">
    <w:abstractNumId w:val="21"/>
    <w:lvlOverride w:ilvl="0">
      <w:startOverride w:val="1"/>
    </w:lvlOverride>
  </w:num>
  <w:num w:numId="24" w16cid:durableId="843519563">
    <w:abstractNumId w:val="21"/>
    <w:lvlOverride w:ilvl="0">
      <w:startOverride w:val="1"/>
    </w:lvlOverride>
  </w:num>
  <w:num w:numId="25" w16cid:durableId="1549995339">
    <w:abstractNumId w:val="21"/>
    <w:lvlOverride w:ilvl="0">
      <w:startOverride w:val="1"/>
    </w:lvlOverride>
  </w:num>
  <w:num w:numId="26" w16cid:durableId="1640647839">
    <w:abstractNumId w:val="21"/>
    <w:lvlOverride w:ilvl="0">
      <w:startOverride w:val="1"/>
    </w:lvlOverride>
  </w:num>
  <w:num w:numId="27" w16cid:durableId="930893250">
    <w:abstractNumId w:val="21"/>
    <w:lvlOverride w:ilvl="0">
      <w:startOverride w:val="1"/>
    </w:lvlOverride>
  </w:num>
  <w:num w:numId="28" w16cid:durableId="467631234">
    <w:abstractNumId w:val="21"/>
    <w:lvlOverride w:ilvl="0">
      <w:startOverride w:val="1"/>
    </w:lvlOverride>
  </w:num>
  <w:num w:numId="29" w16cid:durableId="2393676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E5"/>
    <w:rsid w:val="00010994"/>
    <w:rsid w:val="000156B1"/>
    <w:rsid w:val="00017B1D"/>
    <w:rsid w:val="00021498"/>
    <w:rsid w:val="00023E80"/>
    <w:rsid w:val="00025287"/>
    <w:rsid w:val="0003089B"/>
    <w:rsid w:val="000315DB"/>
    <w:rsid w:val="00040046"/>
    <w:rsid w:val="000421D8"/>
    <w:rsid w:val="000446FD"/>
    <w:rsid w:val="0004709D"/>
    <w:rsid w:val="00064C84"/>
    <w:rsid w:val="00071689"/>
    <w:rsid w:val="00071AE1"/>
    <w:rsid w:val="00080B8C"/>
    <w:rsid w:val="000A7F57"/>
    <w:rsid w:val="000B7EF7"/>
    <w:rsid w:val="000D3CAD"/>
    <w:rsid w:val="000D3E65"/>
    <w:rsid w:val="000D408B"/>
    <w:rsid w:val="000D6619"/>
    <w:rsid w:val="000E0BEC"/>
    <w:rsid w:val="000E3FFA"/>
    <w:rsid w:val="000F00D3"/>
    <w:rsid w:val="000F0A1E"/>
    <w:rsid w:val="000F30B9"/>
    <w:rsid w:val="000F3B6C"/>
    <w:rsid w:val="0010437C"/>
    <w:rsid w:val="00105394"/>
    <w:rsid w:val="00117D83"/>
    <w:rsid w:val="001236FB"/>
    <w:rsid w:val="0013286B"/>
    <w:rsid w:val="001402AB"/>
    <w:rsid w:val="00143DA7"/>
    <w:rsid w:val="001447FE"/>
    <w:rsid w:val="00144BDC"/>
    <w:rsid w:val="00145061"/>
    <w:rsid w:val="0015071D"/>
    <w:rsid w:val="001512A2"/>
    <w:rsid w:val="00171CAA"/>
    <w:rsid w:val="00176511"/>
    <w:rsid w:val="00182DA5"/>
    <w:rsid w:val="00190CF3"/>
    <w:rsid w:val="001919E1"/>
    <w:rsid w:val="00195E2E"/>
    <w:rsid w:val="001A3B60"/>
    <w:rsid w:val="001A633C"/>
    <w:rsid w:val="001B4061"/>
    <w:rsid w:val="001B650B"/>
    <w:rsid w:val="001B6B3B"/>
    <w:rsid w:val="001C02A5"/>
    <w:rsid w:val="001C5397"/>
    <w:rsid w:val="001C685C"/>
    <w:rsid w:val="001C7FFC"/>
    <w:rsid w:val="001E1F74"/>
    <w:rsid w:val="001E6248"/>
    <w:rsid w:val="001E7F73"/>
    <w:rsid w:val="001F49D4"/>
    <w:rsid w:val="001F4B04"/>
    <w:rsid w:val="001F735C"/>
    <w:rsid w:val="00211081"/>
    <w:rsid w:val="002120E5"/>
    <w:rsid w:val="00213BA5"/>
    <w:rsid w:val="00220B3B"/>
    <w:rsid w:val="0022128D"/>
    <w:rsid w:val="002232EF"/>
    <w:rsid w:val="002253FB"/>
    <w:rsid w:val="00226356"/>
    <w:rsid w:val="00226503"/>
    <w:rsid w:val="002269B5"/>
    <w:rsid w:val="002347EF"/>
    <w:rsid w:val="002422A7"/>
    <w:rsid w:val="00245CE7"/>
    <w:rsid w:val="00246A64"/>
    <w:rsid w:val="00254E61"/>
    <w:rsid w:val="00256ABD"/>
    <w:rsid w:val="002611C3"/>
    <w:rsid w:val="00262BF6"/>
    <w:rsid w:val="00267C94"/>
    <w:rsid w:val="00270149"/>
    <w:rsid w:val="002715D7"/>
    <w:rsid w:val="00272A74"/>
    <w:rsid w:val="002735F5"/>
    <w:rsid w:val="0027718B"/>
    <w:rsid w:val="00283566"/>
    <w:rsid w:val="0028698F"/>
    <w:rsid w:val="00290EDC"/>
    <w:rsid w:val="00290F6F"/>
    <w:rsid w:val="002935BC"/>
    <w:rsid w:val="00297357"/>
    <w:rsid w:val="002B2F8F"/>
    <w:rsid w:val="002C34A6"/>
    <w:rsid w:val="002C4324"/>
    <w:rsid w:val="002C5771"/>
    <w:rsid w:val="002C5785"/>
    <w:rsid w:val="002D01A9"/>
    <w:rsid w:val="002D0C40"/>
    <w:rsid w:val="002D2BB8"/>
    <w:rsid w:val="002F6A07"/>
    <w:rsid w:val="00300963"/>
    <w:rsid w:val="00305376"/>
    <w:rsid w:val="003107A8"/>
    <w:rsid w:val="00317564"/>
    <w:rsid w:val="003222F4"/>
    <w:rsid w:val="00324E30"/>
    <w:rsid w:val="00333D01"/>
    <w:rsid w:val="00336C53"/>
    <w:rsid w:val="00337BC1"/>
    <w:rsid w:val="00345E24"/>
    <w:rsid w:val="00347318"/>
    <w:rsid w:val="00353EF2"/>
    <w:rsid w:val="00356C48"/>
    <w:rsid w:val="00361F09"/>
    <w:rsid w:val="003627B2"/>
    <w:rsid w:val="003635A9"/>
    <w:rsid w:val="00363C0B"/>
    <w:rsid w:val="00364621"/>
    <w:rsid w:val="003753CC"/>
    <w:rsid w:val="00377C76"/>
    <w:rsid w:val="00383DD3"/>
    <w:rsid w:val="00383F19"/>
    <w:rsid w:val="003910BC"/>
    <w:rsid w:val="0039151E"/>
    <w:rsid w:val="003951BA"/>
    <w:rsid w:val="0039661D"/>
    <w:rsid w:val="003975CA"/>
    <w:rsid w:val="00397E3A"/>
    <w:rsid w:val="003A1432"/>
    <w:rsid w:val="003A1E22"/>
    <w:rsid w:val="003A3C5A"/>
    <w:rsid w:val="003A3D53"/>
    <w:rsid w:val="003A795E"/>
    <w:rsid w:val="003B1B06"/>
    <w:rsid w:val="003B2E27"/>
    <w:rsid w:val="003C2600"/>
    <w:rsid w:val="003C37FC"/>
    <w:rsid w:val="003C4CCA"/>
    <w:rsid w:val="003C7AA3"/>
    <w:rsid w:val="003E1D66"/>
    <w:rsid w:val="003E4242"/>
    <w:rsid w:val="003F415A"/>
    <w:rsid w:val="00400507"/>
    <w:rsid w:val="004008F0"/>
    <w:rsid w:val="004018F9"/>
    <w:rsid w:val="00406896"/>
    <w:rsid w:val="00412DA7"/>
    <w:rsid w:val="0042626E"/>
    <w:rsid w:val="00430A81"/>
    <w:rsid w:val="00434218"/>
    <w:rsid w:val="00435302"/>
    <w:rsid w:val="00454CF0"/>
    <w:rsid w:val="00460521"/>
    <w:rsid w:val="00462E8D"/>
    <w:rsid w:val="00464C26"/>
    <w:rsid w:val="00466287"/>
    <w:rsid w:val="00467FD2"/>
    <w:rsid w:val="00473E1B"/>
    <w:rsid w:val="00475F2C"/>
    <w:rsid w:val="00477094"/>
    <w:rsid w:val="0048330E"/>
    <w:rsid w:val="004878CC"/>
    <w:rsid w:val="00492D6A"/>
    <w:rsid w:val="00495A35"/>
    <w:rsid w:val="004A0FFB"/>
    <w:rsid w:val="004A1ACD"/>
    <w:rsid w:val="004B6E03"/>
    <w:rsid w:val="004B6E92"/>
    <w:rsid w:val="004C1F9F"/>
    <w:rsid w:val="004C27F6"/>
    <w:rsid w:val="004E08D0"/>
    <w:rsid w:val="004E6D74"/>
    <w:rsid w:val="004E7340"/>
    <w:rsid w:val="004F35FA"/>
    <w:rsid w:val="005035E0"/>
    <w:rsid w:val="005065B1"/>
    <w:rsid w:val="0050701E"/>
    <w:rsid w:val="00510B9E"/>
    <w:rsid w:val="005135DD"/>
    <w:rsid w:val="00525A90"/>
    <w:rsid w:val="00531410"/>
    <w:rsid w:val="00532DF1"/>
    <w:rsid w:val="00536324"/>
    <w:rsid w:val="00537191"/>
    <w:rsid w:val="00540F9B"/>
    <w:rsid w:val="005422D5"/>
    <w:rsid w:val="005617F2"/>
    <w:rsid w:val="0056231C"/>
    <w:rsid w:val="005643D2"/>
    <w:rsid w:val="005822C9"/>
    <w:rsid w:val="00583A06"/>
    <w:rsid w:val="00590254"/>
    <w:rsid w:val="00591BF9"/>
    <w:rsid w:val="0059550D"/>
    <w:rsid w:val="005967F1"/>
    <w:rsid w:val="0059695E"/>
    <w:rsid w:val="005A628A"/>
    <w:rsid w:val="005A69A5"/>
    <w:rsid w:val="005A7251"/>
    <w:rsid w:val="005B0F30"/>
    <w:rsid w:val="005B2D86"/>
    <w:rsid w:val="005B3CB1"/>
    <w:rsid w:val="005B7797"/>
    <w:rsid w:val="005C04D7"/>
    <w:rsid w:val="005C56EE"/>
    <w:rsid w:val="005E74EF"/>
    <w:rsid w:val="005F1FA0"/>
    <w:rsid w:val="005F2325"/>
    <w:rsid w:val="005F388A"/>
    <w:rsid w:val="005F4E44"/>
    <w:rsid w:val="00600C0E"/>
    <w:rsid w:val="00602756"/>
    <w:rsid w:val="00603D9B"/>
    <w:rsid w:val="00604FC5"/>
    <w:rsid w:val="00607397"/>
    <w:rsid w:val="006143B8"/>
    <w:rsid w:val="00615B0B"/>
    <w:rsid w:val="006203A8"/>
    <w:rsid w:val="00625225"/>
    <w:rsid w:val="00626251"/>
    <w:rsid w:val="00630193"/>
    <w:rsid w:val="0063537F"/>
    <w:rsid w:val="00636D05"/>
    <w:rsid w:val="0064125E"/>
    <w:rsid w:val="00642D8E"/>
    <w:rsid w:val="006441D0"/>
    <w:rsid w:val="00645CAD"/>
    <w:rsid w:val="00664505"/>
    <w:rsid w:val="00671C7E"/>
    <w:rsid w:val="006725CC"/>
    <w:rsid w:val="0069014A"/>
    <w:rsid w:val="0069558C"/>
    <w:rsid w:val="00696963"/>
    <w:rsid w:val="006A5F36"/>
    <w:rsid w:val="006A6B64"/>
    <w:rsid w:val="006A7CDA"/>
    <w:rsid w:val="006B12B7"/>
    <w:rsid w:val="006B3A54"/>
    <w:rsid w:val="006B411D"/>
    <w:rsid w:val="006B59AD"/>
    <w:rsid w:val="006B69A8"/>
    <w:rsid w:val="006B6B42"/>
    <w:rsid w:val="006C291D"/>
    <w:rsid w:val="006E2012"/>
    <w:rsid w:val="006E2E2D"/>
    <w:rsid w:val="006E6AC5"/>
    <w:rsid w:val="006E6EF9"/>
    <w:rsid w:val="006F1681"/>
    <w:rsid w:val="006F3564"/>
    <w:rsid w:val="006F4E95"/>
    <w:rsid w:val="006F75E0"/>
    <w:rsid w:val="00703413"/>
    <w:rsid w:val="0070795E"/>
    <w:rsid w:val="0071032A"/>
    <w:rsid w:val="0071245A"/>
    <w:rsid w:val="007151C8"/>
    <w:rsid w:val="007356D8"/>
    <w:rsid w:val="00742AF7"/>
    <w:rsid w:val="00742C9D"/>
    <w:rsid w:val="00745E83"/>
    <w:rsid w:val="00751254"/>
    <w:rsid w:val="00752E48"/>
    <w:rsid w:val="0075630F"/>
    <w:rsid w:val="0076108C"/>
    <w:rsid w:val="0076799C"/>
    <w:rsid w:val="00777B58"/>
    <w:rsid w:val="0078112C"/>
    <w:rsid w:val="00784EB8"/>
    <w:rsid w:val="00787FC1"/>
    <w:rsid w:val="007937BE"/>
    <w:rsid w:val="00794C62"/>
    <w:rsid w:val="00795FF9"/>
    <w:rsid w:val="007A0BC2"/>
    <w:rsid w:val="007A3E77"/>
    <w:rsid w:val="007B29A8"/>
    <w:rsid w:val="007C0B5C"/>
    <w:rsid w:val="007C1146"/>
    <w:rsid w:val="007C201B"/>
    <w:rsid w:val="007D1023"/>
    <w:rsid w:val="007D4EAF"/>
    <w:rsid w:val="007E2484"/>
    <w:rsid w:val="007E3B57"/>
    <w:rsid w:val="007F1A73"/>
    <w:rsid w:val="008048AC"/>
    <w:rsid w:val="00814C50"/>
    <w:rsid w:val="008156A5"/>
    <w:rsid w:val="00821918"/>
    <w:rsid w:val="00824713"/>
    <w:rsid w:val="00825F16"/>
    <w:rsid w:val="008336FE"/>
    <w:rsid w:val="0084171E"/>
    <w:rsid w:val="008425D1"/>
    <w:rsid w:val="00843B5A"/>
    <w:rsid w:val="00843DD4"/>
    <w:rsid w:val="0085351C"/>
    <w:rsid w:val="00857937"/>
    <w:rsid w:val="00860B6B"/>
    <w:rsid w:val="008612AC"/>
    <w:rsid w:val="00865529"/>
    <w:rsid w:val="008735AC"/>
    <w:rsid w:val="00873B99"/>
    <w:rsid w:val="00876E79"/>
    <w:rsid w:val="00881A1B"/>
    <w:rsid w:val="00890EC4"/>
    <w:rsid w:val="0089561B"/>
    <w:rsid w:val="008A79D7"/>
    <w:rsid w:val="008B188A"/>
    <w:rsid w:val="008B45E6"/>
    <w:rsid w:val="008B51BC"/>
    <w:rsid w:val="008C246A"/>
    <w:rsid w:val="008C46B1"/>
    <w:rsid w:val="008C5861"/>
    <w:rsid w:val="008D7852"/>
    <w:rsid w:val="008E36E5"/>
    <w:rsid w:val="008F2D6A"/>
    <w:rsid w:val="008F5622"/>
    <w:rsid w:val="00901C92"/>
    <w:rsid w:val="00907B2E"/>
    <w:rsid w:val="00911C1D"/>
    <w:rsid w:val="0091370B"/>
    <w:rsid w:val="00914741"/>
    <w:rsid w:val="00915C87"/>
    <w:rsid w:val="00934A7B"/>
    <w:rsid w:val="00935D33"/>
    <w:rsid w:val="009372DC"/>
    <w:rsid w:val="00937A24"/>
    <w:rsid w:val="00941F31"/>
    <w:rsid w:val="009516E2"/>
    <w:rsid w:val="00952D4E"/>
    <w:rsid w:val="009602CA"/>
    <w:rsid w:val="009602DD"/>
    <w:rsid w:val="00960796"/>
    <w:rsid w:val="00962F9A"/>
    <w:rsid w:val="00964C78"/>
    <w:rsid w:val="00966443"/>
    <w:rsid w:val="00972A29"/>
    <w:rsid w:val="00993A1B"/>
    <w:rsid w:val="0099476B"/>
    <w:rsid w:val="009A0D1C"/>
    <w:rsid w:val="009A4A11"/>
    <w:rsid w:val="009B1138"/>
    <w:rsid w:val="009B76C5"/>
    <w:rsid w:val="009B7D4D"/>
    <w:rsid w:val="009C2DC5"/>
    <w:rsid w:val="009C6099"/>
    <w:rsid w:val="009C7501"/>
    <w:rsid w:val="009D2BBB"/>
    <w:rsid w:val="009D3550"/>
    <w:rsid w:val="009D791D"/>
    <w:rsid w:val="009E2280"/>
    <w:rsid w:val="009E4939"/>
    <w:rsid w:val="009E56E1"/>
    <w:rsid w:val="009E5730"/>
    <w:rsid w:val="009E7B53"/>
    <w:rsid w:val="009F192A"/>
    <w:rsid w:val="009F2160"/>
    <w:rsid w:val="009F409A"/>
    <w:rsid w:val="009F4373"/>
    <w:rsid w:val="009F632F"/>
    <w:rsid w:val="009F6BAF"/>
    <w:rsid w:val="00A01099"/>
    <w:rsid w:val="00A02B85"/>
    <w:rsid w:val="00A06BED"/>
    <w:rsid w:val="00A10FFE"/>
    <w:rsid w:val="00A1497C"/>
    <w:rsid w:val="00A22175"/>
    <w:rsid w:val="00A2493C"/>
    <w:rsid w:val="00A251AF"/>
    <w:rsid w:val="00A335F7"/>
    <w:rsid w:val="00A3465F"/>
    <w:rsid w:val="00A3562D"/>
    <w:rsid w:val="00A3563F"/>
    <w:rsid w:val="00A37C09"/>
    <w:rsid w:val="00A45519"/>
    <w:rsid w:val="00A54173"/>
    <w:rsid w:val="00A55AC6"/>
    <w:rsid w:val="00A64B36"/>
    <w:rsid w:val="00A65F38"/>
    <w:rsid w:val="00A67720"/>
    <w:rsid w:val="00A70911"/>
    <w:rsid w:val="00A71BB4"/>
    <w:rsid w:val="00A72488"/>
    <w:rsid w:val="00A72585"/>
    <w:rsid w:val="00A7701B"/>
    <w:rsid w:val="00A77A4D"/>
    <w:rsid w:val="00A80510"/>
    <w:rsid w:val="00A83A31"/>
    <w:rsid w:val="00A911E2"/>
    <w:rsid w:val="00A94228"/>
    <w:rsid w:val="00A95CB5"/>
    <w:rsid w:val="00AA31D6"/>
    <w:rsid w:val="00AA693D"/>
    <w:rsid w:val="00AA7632"/>
    <w:rsid w:val="00AB3701"/>
    <w:rsid w:val="00AB6BF0"/>
    <w:rsid w:val="00AC080C"/>
    <w:rsid w:val="00AC0FFE"/>
    <w:rsid w:val="00AC5F52"/>
    <w:rsid w:val="00AD2744"/>
    <w:rsid w:val="00AD3371"/>
    <w:rsid w:val="00AD34B7"/>
    <w:rsid w:val="00AD4A00"/>
    <w:rsid w:val="00AD4F7F"/>
    <w:rsid w:val="00AF2FB4"/>
    <w:rsid w:val="00AF4DF7"/>
    <w:rsid w:val="00AF734E"/>
    <w:rsid w:val="00B02579"/>
    <w:rsid w:val="00B03BDE"/>
    <w:rsid w:val="00B060AB"/>
    <w:rsid w:val="00B06BB6"/>
    <w:rsid w:val="00B1255A"/>
    <w:rsid w:val="00B1608B"/>
    <w:rsid w:val="00B20D2F"/>
    <w:rsid w:val="00B26F51"/>
    <w:rsid w:val="00B3202F"/>
    <w:rsid w:val="00B3498C"/>
    <w:rsid w:val="00B41499"/>
    <w:rsid w:val="00B43A84"/>
    <w:rsid w:val="00B44B5E"/>
    <w:rsid w:val="00B44E77"/>
    <w:rsid w:val="00B56067"/>
    <w:rsid w:val="00B62F09"/>
    <w:rsid w:val="00B71402"/>
    <w:rsid w:val="00B71F17"/>
    <w:rsid w:val="00B72128"/>
    <w:rsid w:val="00B73823"/>
    <w:rsid w:val="00B811F5"/>
    <w:rsid w:val="00B82EB2"/>
    <w:rsid w:val="00B920A3"/>
    <w:rsid w:val="00B9225F"/>
    <w:rsid w:val="00B92E23"/>
    <w:rsid w:val="00B94460"/>
    <w:rsid w:val="00BA1841"/>
    <w:rsid w:val="00BB183E"/>
    <w:rsid w:val="00BB26C9"/>
    <w:rsid w:val="00BB55EC"/>
    <w:rsid w:val="00BC0ADD"/>
    <w:rsid w:val="00BC1D8A"/>
    <w:rsid w:val="00BD082A"/>
    <w:rsid w:val="00BD1A33"/>
    <w:rsid w:val="00BD3144"/>
    <w:rsid w:val="00BD45B8"/>
    <w:rsid w:val="00BD5329"/>
    <w:rsid w:val="00BD64C3"/>
    <w:rsid w:val="00BD6EF8"/>
    <w:rsid w:val="00BD7785"/>
    <w:rsid w:val="00BE07AF"/>
    <w:rsid w:val="00BF0472"/>
    <w:rsid w:val="00BF7075"/>
    <w:rsid w:val="00C05A3B"/>
    <w:rsid w:val="00C1112B"/>
    <w:rsid w:val="00C14514"/>
    <w:rsid w:val="00C2776B"/>
    <w:rsid w:val="00C27B4F"/>
    <w:rsid w:val="00C305B2"/>
    <w:rsid w:val="00C35AB7"/>
    <w:rsid w:val="00C41B62"/>
    <w:rsid w:val="00C455CE"/>
    <w:rsid w:val="00C60751"/>
    <w:rsid w:val="00C61ED4"/>
    <w:rsid w:val="00C6772A"/>
    <w:rsid w:val="00C73C5C"/>
    <w:rsid w:val="00C827DC"/>
    <w:rsid w:val="00C8765A"/>
    <w:rsid w:val="00C87B4A"/>
    <w:rsid w:val="00C917BB"/>
    <w:rsid w:val="00C97400"/>
    <w:rsid w:val="00CA319C"/>
    <w:rsid w:val="00CA4EA9"/>
    <w:rsid w:val="00CC01B7"/>
    <w:rsid w:val="00CC1386"/>
    <w:rsid w:val="00CC66D4"/>
    <w:rsid w:val="00CD120B"/>
    <w:rsid w:val="00CD2793"/>
    <w:rsid w:val="00CD2A3C"/>
    <w:rsid w:val="00CD2E88"/>
    <w:rsid w:val="00CE4DF7"/>
    <w:rsid w:val="00CE5EE6"/>
    <w:rsid w:val="00CF1A88"/>
    <w:rsid w:val="00CF22D2"/>
    <w:rsid w:val="00CF7AC1"/>
    <w:rsid w:val="00D03AD1"/>
    <w:rsid w:val="00D0438D"/>
    <w:rsid w:val="00D04A6A"/>
    <w:rsid w:val="00D0690B"/>
    <w:rsid w:val="00D23C21"/>
    <w:rsid w:val="00D23D59"/>
    <w:rsid w:val="00D30376"/>
    <w:rsid w:val="00D30BC5"/>
    <w:rsid w:val="00D31137"/>
    <w:rsid w:val="00D323DB"/>
    <w:rsid w:val="00D326B7"/>
    <w:rsid w:val="00D33C71"/>
    <w:rsid w:val="00D40927"/>
    <w:rsid w:val="00D4299D"/>
    <w:rsid w:val="00D506CC"/>
    <w:rsid w:val="00D54E44"/>
    <w:rsid w:val="00D73CD2"/>
    <w:rsid w:val="00D74536"/>
    <w:rsid w:val="00D74875"/>
    <w:rsid w:val="00D76FE7"/>
    <w:rsid w:val="00D82865"/>
    <w:rsid w:val="00D8379E"/>
    <w:rsid w:val="00D847AA"/>
    <w:rsid w:val="00D876A1"/>
    <w:rsid w:val="00D8795C"/>
    <w:rsid w:val="00D97570"/>
    <w:rsid w:val="00D97E64"/>
    <w:rsid w:val="00DA0E85"/>
    <w:rsid w:val="00DA7EA3"/>
    <w:rsid w:val="00DC352B"/>
    <w:rsid w:val="00DC3704"/>
    <w:rsid w:val="00DD0A93"/>
    <w:rsid w:val="00DD0D61"/>
    <w:rsid w:val="00DD28CA"/>
    <w:rsid w:val="00DD7C87"/>
    <w:rsid w:val="00DE1870"/>
    <w:rsid w:val="00DE4C8A"/>
    <w:rsid w:val="00E04298"/>
    <w:rsid w:val="00E042F5"/>
    <w:rsid w:val="00E10FB8"/>
    <w:rsid w:val="00E1284A"/>
    <w:rsid w:val="00E14CD3"/>
    <w:rsid w:val="00E2394F"/>
    <w:rsid w:val="00E26EEC"/>
    <w:rsid w:val="00E34CD1"/>
    <w:rsid w:val="00E44B69"/>
    <w:rsid w:val="00E4508D"/>
    <w:rsid w:val="00E52D98"/>
    <w:rsid w:val="00E642A8"/>
    <w:rsid w:val="00E67269"/>
    <w:rsid w:val="00E80902"/>
    <w:rsid w:val="00E8375D"/>
    <w:rsid w:val="00E95DB2"/>
    <w:rsid w:val="00EA05DB"/>
    <w:rsid w:val="00EA0EE6"/>
    <w:rsid w:val="00EA281C"/>
    <w:rsid w:val="00EA6524"/>
    <w:rsid w:val="00EA6E7B"/>
    <w:rsid w:val="00EB23B2"/>
    <w:rsid w:val="00EB4276"/>
    <w:rsid w:val="00EC734A"/>
    <w:rsid w:val="00ED377B"/>
    <w:rsid w:val="00ED6118"/>
    <w:rsid w:val="00EE0B08"/>
    <w:rsid w:val="00EE2672"/>
    <w:rsid w:val="00EE6329"/>
    <w:rsid w:val="00EE77B6"/>
    <w:rsid w:val="00EF082E"/>
    <w:rsid w:val="00EF1925"/>
    <w:rsid w:val="00F051A7"/>
    <w:rsid w:val="00F05AAA"/>
    <w:rsid w:val="00F10150"/>
    <w:rsid w:val="00F12130"/>
    <w:rsid w:val="00F12551"/>
    <w:rsid w:val="00F12624"/>
    <w:rsid w:val="00F1278E"/>
    <w:rsid w:val="00F17406"/>
    <w:rsid w:val="00F24D81"/>
    <w:rsid w:val="00F37687"/>
    <w:rsid w:val="00F4129B"/>
    <w:rsid w:val="00F44746"/>
    <w:rsid w:val="00F54A79"/>
    <w:rsid w:val="00F60234"/>
    <w:rsid w:val="00F63127"/>
    <w:rsid w:val="00F65588"/>
    <w:rsid w:val="00F6592A"/>
    <w:rsid w:val="00F66651"/>
    <w:rsid w:val="00F70027"/>
    <w:rsid w:val="00F70CC8"/>
    <w:rsid w:val="00F82B2D"/>
    <w:rsid w:val="00F84D85"/>
    <w:rsid w:val="00F86849"/>
    <w:rsid w:val="00F90BFD"/>
    <w:rsid w:val="00F94579"/>
    <w:rsid w:val="00F96B3B"/>
    <w:rsid w:val="00FA0D2C"/>
    <w:rsid w:val="00FA1EBA"/>
    <w:rsid w:val="00FA2923"/>
    <w:rsid w:val="00FA56C2"/>
    <w:rsid w:val="00FB08C9"/>
    <w:rsid w:val="00FB2728"/>
    <w:rsid w:val="00FB792B"/>
    <w:rsid w:val="00FC0F1B"/>
    <w:rsid w:val="00FC12F9"/>
    <w:rsid w:val="00FC6011"/>
    <w:rsid w:val="00FD19BD"/>
    <w:rsid w:val="00FD5D6F"/>
    <w:rsid w:val="00FE28F8"/>
    <w:rsid w:val="00FE3E72"/>
    <w:rsid w:val="00FE5585"/>
    <w:rsid w:val="00FE6A6F"/>
    <w:rsid w:val="00FF197A"/>
    <w:rsid w:val="00FF1CD9"/>
    <w:rsid w:val="00FF2F72"/>
    <w:rsid w:val="00FF74F6"/>
    <w:rsid w:val="25FDF1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2909F"/>
  <w15:chartTrackingRefBased/>
  <w15:docId w15:val="{34268F5E-6444-463F-BD3F-A1E7CE942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F9F"/>
    <w:rPr>
      <w:sz w:val="24"/>
    </w:rPr>
  </w:style>
  <w:style w:type="paragraph" w:styleId="Heading1">
    <w:name w:val="heading 1"/>
    <w:basedOn w:val="Normal"/>
    <w:next w:val="Normal"/>
    <w:link w:val="Heading1Char"/>
    <w:uiPriority w:val="9"/>
    <w:qFormat/>
    <w:rsid w:val="004C1F9F"/>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4C1F9F"/>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1F9F"/>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1F9F"/>
    <w:pPr>
      <w:keepNext/>
      <w:keepLines/>
      <w:spacing w:before="40" w:after="0"/>
      <w:outlineLvl w:val="3"/>
    </w:pPr>
    <w:rPr>
      <w:rFonts w:asciiTheme="majorHAnsi" w:eastAsiaTheme="majorEastAsia" w:hAnsiTheme="majorHAnsi" w:cstheme="majorBidi"/>
      <w:color w:val="0F4761" w:themeColor="accent1" w:themeShade="BF"/>
      <w:szCs w:val="24"/>
    </w:rPr>
  </w:style>
  <w:style w:type="paragraph" w:styleId="Heading5">
    <w:name w:val="heading 5"/>
    <w:basedOn w:val="Normal"/>
    <w:next w:val="Normal"/>
    <w:link w:val="Heading5Char"/>
    <w:uiPriority w:val="9"/>
    <w:semiHidden/>
    <w:unhideWhenUsed/>
    <w:qFormat/>
    <w:rsid w:val="004C1F9F"/>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4C1F9F"/>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4C1F9F"/>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4C1F9F"/>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4C1F9F"/>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F9F"/>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4C1F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1F9F"/>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F9F"/>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4C1F9F"/>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4C1F9F"/>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4C1F9F"/>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4C1F9F"/>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4C1F9F"/>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4C1F9F"/>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4C1F9F"/>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4C1F9F"/>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4C1F9F"/>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4C1F9F"/>
    <w:pPr>
      <w:spacing w:before="120" w:after="120"/>
      <w:ind w:left="720"/>
    </w:pPr>
    <w:rPr>
      <w:color w:val="0E2841" w:themeColor="text2"/>
      <w:szCs w:val="24"/>
    </w:rPr>
  </w:style>
  <w:style w:type="character" w:customStyle="1" w:styleId="QuoteChar">
    <w:name w:val="Quote Char"/>
    <w:basedOn w:val="DefaultParagraphFont"/>
    <w:link w:val="Quote"/>
    <w:uiPriority w:val="29"/>
    <w:rsid w:val="004C1F9F"/>
    <w:rPr>
      <w:color w:val="0E2841" w:themeColor="text2"/>
      <w:sz w:val="24"/>
      <w:szCs w:val="24"/>
    </w:rPr>
  </w:style>
  <w:style w:type="paragraph" w:styleId="ListParagraph">
    <w:name w:val="List Paragraph"/>
    <w:basedOn w:val="CLGbody"/>
    <w:uiPriority w:val="34"/>
    <w:qFormat/>
    <w:rsid w:val="009E2280"/>
    <w:pPr>
      <w:ind w:left="720"/>
      <w:contextualSpacing/>
    </w:pPr>
    <w:rPr>
      <w:rFonts w:asciiTheme="minorHAnsi" w:hAnsiTheme="minorHAnsi" w:cstheme="minorBidi"/>
      <w:szCs w:val="22"/>
    </w:rPr>
  </w:style>
  <w:style w:type="character" w:styleId="IntenseEmphasis">
    <w:name w:val="Intense Emphasis"/>
    <w:basedOn w:val="DefaultParagraphFont"/>
    <w:uiPriority w:val="21"/>
    <w:qFormat/>
    <w:rsid w:val="004C1F9F"/>
    <w:rPr>
      <w:b/>
      <w:bCs/>
      <w:i/>
      <w:iCs/>
    </w:rPr>
  </w:style>
  <w:style w:type="paragraph" w:styleId="IntenseQuote">
    <w:name w:val="Intense Quote"/>
    <w:basedOn w:val="Normal"/>
    <w:next w:val="Normal"/>
    <w:link w:val="IntenseQuoteChar"/>
    <w:uiPriority w:val="30"/>
    <w:qFormat/>
    <w:rsid w:val="004C1F9F"/>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4C1F9F"/>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4C1F9F"/>
    <w:rPr>
      <w:b/>
      <w:bCs/>
      <w:smallCaps/>
      <w:color w:val="0E2841" w:themeColor="text2"/>
      <w:u w:val="single"/>
    </w:rPr>
  </w:style>
  <w:style w:type="paragraph" w:styleId="TOCHeading">
    <w:name w:val="TOC Heading"/>
    <w:basedOn w:val="Heading1"/>
    <w:next w:val="Normal"/>
    <w:uiPriority w:val="39"/>
    <w:unhideWhenUsed/>
    <w:qFormat/>
    <w:rsid w:val="004C1F9F"/>
    <w:pPr>
      <w:outlineLvl w:val="9"/>
    </w:pPr>
  </w:style>
  <w:style w:type="paragraph" w:styleId="TOC1">
    <w:name w:val="toc 1"/>
    <w:basedOn w:val="Normal"/>
    <w:next w:val="Normal"/>
    <w:link w:val="TOC1Char"/>
    <w:autoRedefine/>
    <w:uiPriority w:val="39"/>
    <w:unhideWhenUsed/>
    <w:rsid w:val="00CF22D2"/>
    <w:pPr>
      <w:tabs>
        <w:tab w:val="right" w:leader="dot" w:pos="9350"/>
      </w:tabs>
      <w:spacing w:after="100"/>
    </w:pPr>
    <w:rPr>
      <w:rFonts w:ascii="Book Antiqua" w:hAnsi="Book Antiqua"/>
      <w:noProof/>
    </w:rPr>
  </w:style>
  <w:style w:type="character" w:styleId="Hyperlink">
    <w:name w:val="Hyperlink"/>
    <w:basedOn w:val="DefaultParagraphFont"/>
    <w:uiPriority w:val="99"/>
    <w:unhideWhenUsed/>
    <w:rsid w:val="002120E5"/>
    <w:rPr>
      <w:color w:val="467886" w:themeColor="hyperlink"/>
      <w:u w:val="single"/>
    </w:rPr>
  </w:style>
  <w:style w:type="paragraph" w:customStyle="1" w:styleId="CLGtitles">
    <w:name w:val="CLG titles"/>
    <w:basedOn w:val="Title"/>
    <w:link w:val="CLGtitlesChar"/>
    <w:rsid w:val="00F96B3B"/>
    <w:rPr>
      <w:rFonts w:ascii="Book Antiqua" w:hAnsi="Book Antiqua" w:cs="Calibri"/>
    </w:rPr>
  </w:style>
  <w:style w:type="character" w:customStyle="1" w:styleId="CLGtitlesChar">
    <w:name w:val="CLG titles Char"/>
    <w:basedOn w:val="TitleChar"/>
    <w:link w:val="CLGtitles"/>
    <w:rsid w:val="00F96B3B"/>
    <w:rPr>
      <w:rFonts w:ascii="Book Antiqua" w:eastAsiaTheme="majorEastAsia" w:hAnsi="Book Antiqua" w:cs="Calibri"/>
      <w:caps/>
      <w:color w:val="0E2841" w:themeColor="text2"/>
      <w:spacing w:val="-10"/>
      <w:kern w:val="28"/>
      <w:sz w:val="56"/>
      <w:szCs w:val="56"/>
    </w:rPr>
  </w:style>
  <w:style w:type="paragraph" w:customStyle="1" w:styleId="CLGheading1">
    <w:name w:val="CLG heading 1"/>
    <w:basedOn w:val="Heading1"/>
    <w:link w:val="CLGheading1Char"/>
    <w:rsid w:val="0084171E"/>
    <w:rPr>
      <w:rFonts w:ascii="Book Antiqua" w:hAnsi="Book Antiqua" w:cs="Calibri"/>
      <w:color w:val="06306F"/>
    </w:rPr>
  </w:style>
  <w:style w:type="character" w:customStyle="1" w:styleId="CLGheading1Char">
    <w:name w:val="CLG heading 1 Char"/>
    <w:basedOn w:val="Heading1Char"/>
    <w:link w:val="CLGheading1"/>
    <w:rsid w:val="0084171E"/>
    <w:rPr>
      <w:rFonts w:ascii="Book Antiqua" w:eastAsiaTheme="majorEastAsia" w:hAnsi="Book Antiqua" w:cs="Calibri"/>
      <w:color w:val="06306F"/>
      <w:sz w:val="40"/>
      <w:szCs w:val="40"/>
    </w:rPr>
  </w:style>
  <w:style w:type="paragraph" w:customStyle="1" w:styleId="CLGbody">
    <w:name w:val="CLG body"/>
    <w:basedOn w:val="Normal"/>
    <w:link w:val="CLGbodyChar"/>
    <w:rsid w:val="0075630F"/>
    <w:rPr>
      <w:rFonts w:ascii="Calibri" w:hAnsi="Calibri" w:cs="Calibri"/>
      <w:szCs w:val="28"/>
    </w:rPr>
  </w:style>
  <w:style w:type="character" w:customStyle="1" w:styleId="CLGbodyChar">
    <w:name w:val="CLG body Char"/>
    <w:basedOn w:val="DefaultParagraphFont"/>
    <w:link w:val="CLGbody"/>
    <w:rsid w:val="0075630F"/>
    <w:rPr>
      <w:rFonts w:ascii="Calibri" w:hAnsi="Calibri" w:cs="Calibri"/>
      <w:szCs w:val="28"/>
    </w:rPr>
  </w:style>
  <w:style w:type="paragraph" w:styleId="EndnoteText">
    <w:name w:val="endnote text"/>
    <w:basedOn w:val="Normal"/>
    <w:link w:val="EndnoteTextChar"/>
    <w:uiPriority w:val="99"/>
    <w:unhideWhenUsed/>
    <w:rsid w:val="003F415A"/>
    <w:pPr>
      <w:spacing w:after="0" w:line="240" w:lineRule="auto"/>
    </w:pPr>
    <w:rPr>
      <w:sz w:val="20"/>
      <w:szCs w:val="20"/>
    </w:rPr>
  </w:style>
  <w:style w:type="character" w:customStyle="1" w:styleId="EndnoteTextChar">
    <w:name w:val="Endnote Text Char"/>
    <w:basedOn w:val="DefaultParagraphFont"/>
    <w:link w:val="EndnoteText"/>
    <w:uiPriority w:val="99"/>
    <w:rsid w:val="003F415A"/>
    <w:rPr>
      <w:sz w:val="20"/>
      <w:szCs w:val="20"/>
    </w:rPr>
  </w:style>
  <w:style w:type="character" w:styleId="EndnoteReference">
    <w:name w:val="endnote reference"/>
    <w:basedOn w:val="DefaultParagraphFont"/>
    <w:uiPriority w:val="99"/>
    <w:semiHidden/>
    <w:unhideWhenUsed/>
    <w:rsid w:val="003F415A"/>
    <w:rPr>
      <w:vertAlign w:val="superscript"/>
    </w:rPr>
  </w:style>
  <w:style w:type="paragraph" w:customStyle="1" w:styleId="CLGheading2">
    <w:name w:val="CLG heading 2"/>
    <w:basedOn w:val="Heading2"/>
    <w:link w:val="CLGheading2Char"/>
    <w:rsid w:val="0084171E"/>
    <w:rPr>
      <w:rFonts w:ascii="Book Antiqua" w:hAnsi="Book Antiqua"/>
      <w:color w:val="06306F"/>
    </w:rPr>
  </w:style>
  <w:style w:type="character" w:customStyle="1" w:styleId="CLGheading2Char">
    <w:name w:val="CLG heading 2 Char"/>
    <w:basedOn w:val="Heading2Char"/>
    <w:link w:val="CLGheading2"/>
    <w:rsid w:val="0084171E"/>
    <w:rPr>
      <w:rFonts w:ascii="Book Antiqua" w:eastAsiaTheme="majorEastAsia" w:hAnsi="Book Antiqua" w:cstheme="majorBidi"/>
      <w:color w:val="06306F"/>
      <w:sz w:val="32"/>
      <w:szCs w:val="32"/>
    </w:rPr>
  </w:style>
  <w:style w:type="paragraph" w:customStyle="1" w:styleId="CLGendnotes">
    <w:name w:val="CLG endnotes"/>
    <w:basedOn w:val="EndnoteText"/>
    <w:link w:val="CLGendnotesChar"/>
    <w:autoRedefine/>
    <w:rsid w:val="00454CF0"/>
    <w:rPr>
      <w:rFonts w:ascii="Calibri" w:hAnsi="Calibri" w:cs="Calibri"/>
      <w:sz w:val="24"/>
      <w:szCs w:val="24"/>
    </w:rPr>
  </w:style>
  <w:style w:type="character" w:customStyle="1" w:styleId="CLGendnotesChar">
    <w:name w:val="CLG endnotes Char"/>
    <w:basedOn w:val="EndnoteTextChar"/>
    <w:link w:val="CLGendnotes"/>
    <w:rsid w:val="00454CF0"/>
    <w:rPr>
      <w:rFonts w:ascii="Calibri" w:hAnsi="Calibri" w:cs="Calibri"/>
      <w:sz w:val="20"/>
      <w:szCs w:val="20"/>
    </w:rPr>
  </w:style>
  <w:style w:type="paragraph" w:styleId="TOC2">
    <w:name w:val="toc 2"/>
    <w:basedOn w:val="Normal"/>
    <w:next w:val="Normal"/>
    <w:autoRedefine/>
    <w:uiPriority w:val="39"/>
    <w:unhideWhenUsed/>
    <w:rsid w:val="001402AB"/>
    <w:pPr>
      <w:spacing w:after="100"/>
      <w:ind w:left="240"/>
    </w:pPr>
  </w:style>
  <w:style w:type="paragraph" w:customStyle="1" w:styleId="CLGTOC">
    <w:name w:val="CLG TOC"/>
    <w:basedOn w:val="TOC1"/>
    <w:link w:val="CLGTOCChar"/>
    <w:autoRedefine/>
    <w:rsid w:val="00430A81"/>
    <w:rPr>
      <w:sz w:val="28"/>
    </w:rPr>
  </w:style>
  <w:style w:type="character" w:customStyle="1" w:styleId="TOC1Char">
    <w:name w:val="TOC 1 Char"/>
    <w:basedOn w:val="DefaultParagraphFont"/>
    <w:link w:val="TOC1"/>
    <w:uiPriority w:val="39"/>
    <w:rsid w:val="00CF22D2"/>
    <w:rPr>
      <w:rFonts w:ascii="Book Antiqua" w:hAnsi="Book Antiqua"/>
      <w:noProof/>
    </w:rPr>
  </w:style>
  <w:style w:type="character" w:customStyle="1" w:styleId="CLGTOCChar">
    <w:name w:val="CLG TOC Char"/>
    <w:basedOn w:val="TOC1Char"/>
    <w:link w:val="CLGTOC"/>
    <w:rsid w:val="00430A81"/>
    <w:rPr>
      <w:rFonts w:ascii="Book Antiqua" w:hAnsi="Book Antiqua"/>
      <w:noProof/>
      <w:sz w:val="28"/>
    </w:rPr>
  </w:style>
  <w:style w:type="paragraph" w:styleId="Header">
    <w:name w:val="header"/>
    <w:basedOn w:val="Normal"/>
    <w:link w:val="HeaderChar"/>
    <w:uiPriority w:val="99"/>
    <w:unhideWhenUsed/>
    <w:rsid w:val="00271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5D7"/>
  </w:style>
  <w:style w:type="paragraph" w:styleId="Footer">
    <w:name w:val="footer"/>
    <w:basedOn w:val="Normal"/>
    <w:link w:val="FooterChar"/>
    <w:uiPriority w:val="99"/>
    <w:unhideWhenUsed/>
    <w:rsid w:val="00271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5D7"/>
  </w:style>
  <w:style w:type="paragraph" w:customStyle="1" w:styleId="CLGIntroparagraph">
    <w:name w:val="CLG Intro paragraph"/>
    <w:basedOn w:val="CLGbody"/>
    <w:link w:val="CLGIntroparagraphChar"/>
    <w:rsid w:val="00A64B36"/>
    <w:rPr>
      <w:sz w:val="28"/>
    </w:rPr>
  </w:style>
  <w:style w:type="character" w:customStyle="1" w:styleId="CLGIntroparagraphChar">
    <w:name w:val="CLG Intro paragraph Char"/>
    <w:basedOn w:val="CLGbodyChar"/>
    <w:link w:val="CLGIntroparagraph"/>
    <w:rsid w:val="00A64B36"/>
    <w:rPr>
      <w:rFonts w:ascii="Calibri" w:hAnsi="Calibri" w:cs="Calibri"/>
      <w:sz w:val="28"/>
      <w:szCs w:val="28"/>
    </w:rPr>
  </w:style>
  <w:style w:type="paragraph" w:styleId="FootnoteText">
    <w:name w:val="footnote text"/>
    <w:basedOn w:val="Normal"/>
    <w:link w:val="FootnoteTextChar"/>
    <w:uiPriority w:val="99"/>
    <w:semiHidden/>
    <w:unhideWhenUsed/>
    <w:rsid w:val="007937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37BE"/>
    <w:rPr>
      <w:sz w:val="20"/>
      <w:szCs w:val="20"/>
    </w:rPr>
  </w:style>
  <w:style w:type="character" w:styleId="FootnoteReference">
    <w:name w:val="footnote reference"/>
    <w:basedOn w:val="DefaultParagraphFont"/>
    <w:uiPriority w:val="99"/>
    <w:semiHidden/>
    <w:unhideWhenUsed/>
    <w:rsid w:val="007937BE"/>
    <w:rPr>
      <w:vertAlign w:val="superscript"/>
    </w:rPr>
  </w:style>
  <w:style w:type="paragraph" w:styleId="Caption">
    <w:name w:val="caption"/>
    <w:basedOn w:val="Normal"/>
    <w:next w:val="Normal"/>
    <w:uiPriority w:val="35"/>
    <w:semiHidden/>
    <w:unhideWhenUsed/>
    <w:qFormat/>
    <w:rsid w:val="004C1F9F"/>
    <w:pPr>
      <w:spacing w:line="240" w:lineRule="auto"/>
    </w:pPr>
    <w:rPr>
      <w:b/>
      <w:bCs/>
      <w:smallCaps/>
      <w:color w:val="0E2841" w:themeColor="text2"/>
    </w:rPr>
  </w:style>
  <w:style w:type="character" w:styleId="Strong">
    <w:name w:val="Strong"/>
    <w:basedOn w:val="DefaultParagraphFont"/>
    <w:uiPriority w:val="22"/>
    <w:qFormat/>
    <w:rsid w:val="004C1F9F"/>
    <w:rPr>
      <w:b/>
      <w:bCs/>
    </w:rPr>
  </w:style>
  <w:style w:type="character" w:styleId="Emphasis">
    <w:name w:val="Emphasis"/>
    <w:basedOn w:val="DefaultParagraphFont"/>
    <w:uiPriority w:val="20"/>
    <w:qFormat/>
    <w:rsid w:val="004C1F9F"/>
    <w:rPr>
      <w:i/>
      <w:iCs/>
    </w:rPr>
  </w:style>
  <w:style w:type="paragraph" w:styleId="NoSpacing">
    <w:name w:val="No Spacing"/>
    <w:uiPriority w:val="1"/>
    <w:qFormat/>
    <w:rsid w:val="004C1F9F"/>
    <w:pPr>
      <w:spacing w:after="0" w:line="240" w:lineRule="auto"/>
    </w:pPr>
  </w:style>
  <w:style w:type="character" w:styleId="SubtleEmphasis">
    <w:name w:val="Subtle Emphasis"/>
    <w:basedOn w:val="DefaultParagraphFont"/>
    <w:uiPriority w:val="19"/>
    <w:qFormat/>
    <w:rsid w:val="004C1F9F"/>
    <w:rPr>
      <w:i/>
      <w:iCs/>
      <w:color w:val="595959" w:themeColor="text1" w:themeTint="A6"/>
    </w:rPr>
  </w:style>
  <w:style w:type="character" w:styleId="SubtleReference">
    <w:name w:val="Subtle Reference"/>
    <w:basedOn w:val="DefaultParagraphFont"/>
    <w:uiPriority w:val="31"/>
    <w:qFormat/>
    <w:rsid w:val="004C1F9F"/>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4C1F9F"/>
    <w:rPr>
      <w:b/>
      <w:bCs/>
      <w:smallCaps/>
      <w:spacing w:val="10"/>
    </w:rPr>
  </w:style>
  <w:style w:type="paragraph" w:styleId="Revision">
    <w:name w:val="Revision"/>
    <w:hidden/>
    <w:uiPriority w:val="99"/>
    <w:semiHidden/>
    <w:rsid w:val="00C2776B"/>
    <w:pPr>
      <w:spacing w:after="0" w:line="240" w:lineRule="auto"/>
    </w:pPr>
    <w:rPr>
      <w:sz w:val="24"/>
    </w:rPr>
  </w:style>
  <w:style w:type="character" w:styleId="CommentReference">
    <w:name w:val="annotation reference"/>
    <w:basedOn w:val="DefaultParagraphFont"/>
    <w:uiPriority w:val="99"/>
    <w:semiHidden/>
    <w:unhideWhenUsed/>
    <w:rsid w:val="00272A74"/>
    <w:rPr>
      <w:sz w:val="16"/>
      <w:szCs w:val="16"/>
    </w:rPr>
  </w:style>
  <w:style w:type="paragraph" w:styleId="CommentText">
    <w:name w:val="annotation text"/>
    <w:basedOn w:val="Normal"/>
    <w:link w:val="CommentTextChar"/>
    <w:uiPriority w:val="99"/>
    <w:unhideWhenUsed/>
    <w:rsid w:val="00272A74"/>
    <w:pPr>
      <w:spacing w:line="240" w:lineRule="auto"/>
    </w:pPr>
    <w:rPr>
      <w:sz w:val="20"/>
      <w:szCs w:val="20"/>
    </w:rPr>
  </w:style>
  <w:style w:type="character" w:customStyle="1" w:styleId="CommentTextChar">
    <w:name w:val="Comment Text Char"/>
    <w:basedOn w:val="DefaultParagraphFont"/>
    <w:link w:val="CommentText"/>
    <w:uiPriority w:val="99"/>
    <w:rsid w:val="00272A74"/>
    <w:rPr>
      <w:sz w:val="20"/>
      <w:szCs w:val="20"/>
    </w:rPr>
  </w:style>
  <w:style w:type="paragraph" w:styleId="CommentSubject">
    <w:name w:val="annotation subject"/>
    <w:basedOn w:val="CommentText"/>
    <w:next w:val="CommentText"/>
    <w:link w:val="CommentSubjectChar"/>
    <w:uiPriority w:val="99"/>
    <w:semiHidden/>
    <w:unhideWhenUsed/>
    <w:rsid w:val="00272A74"/>
    <w:rPr>
      <w:b/>
      <w:bCs/>
    </w:rPr>
  </w:style>
  <w:style w:type="character" w:customStyle="1" w:styleId="CommentSubjectChar">
    <w:name w:val="Comment Subject Char"/>
    <w:basedOn w:val="CommentTextChar"/>
    <w:link w:val="CommentSubject"/>
    <w:uiPriority w:val="99"/>
    <w:semiHidden/>
    <w:rsid w:val="00272A74"/>
    <w:rPr>
      <w:b/>
      <w:bCs/>
      <w:sz w:val="20"/>
      <w:szCs w:val="20"/>
    </w:rPr>
  </w:style>
  <w:style w:type="character" w:styleId="UnresolvedMention">
    <w:name w:val="Unresolved Mention"/>
    <w:basedOn w:val="DefaultParagraphFont"/>
    <w:uiPriority w:val="99"/>
    <w:semiHidden/>
    <w:unhideWhenUsed/>
    <w:rsid w:val="00220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maine.gov/ag/consumer-protection/consumer-help-topics/purchasing-goods-and-services/maine-unfair-trade-practi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ine.gov/ag/consumer-protection/consumer-help-topics/purchasing-goods-and-services/maine-unfair-trade-practic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ine.gov/ag/consumer-protection/consumer-help-topics/purchasing-goods-or-services/warranties" TargetMode="External"/><Relationship Id="rId5" Type="http://schemas.openxmlformats.org/officeDocument/2006/relationships/webSettings" Target="webSettings.xml"/><Relationship Id="rId15" Type="http://schemas.openxmlformats.org/officeDocument/2006/relationships/hyperlink" Target="https://www.maine.gov/pfr/consumercredit/index.shtml" TargetMode="External"/><Relationship Id="rId10" Type="http://schemas.openxmlformats.org/officeDocument/2006/relationships/hyperlink" Target="https://maine.gov/ag/consumer-protection/consumer-help-topics/purchasing-goods-or-services/warranti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aine.gov/pfr/consumercredit/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09EBE-55C7-4B46-A4B6-BC4D6C4E9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2196</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remedies for defective goods</dc:title>
  <dc:subject/>
  <dc:creator>Olson, Jules M</dc:creator>
  <cp:keywords/>
  <dc:description/>
  <cp:lastModifiedBy>Olson, Jules M</cp:lastModifiedBy>
  <cp:revision>12</cp:revision>
  <cp:lastPrinted>2025-11-18T20:59:00Z</cp:lastPrinted>
  <dcterms:created xsi:type="dcterms:W3CDTF">2026-04-16T18:03:00Z</dcterms:created>
  <dcterms:modified xsi:type="dcterms:W3CDTF">2026-04-16T18:20:00Z</dcterms:modified>
</cp:coreProperties>
</file>